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 w:eastAsiaTheme="minorEastAsia"/>
          <w:b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 w:val="24"/>
          <w:szCs w:val="24"/>
        </w:rPr>
        <w:t>采购需求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FF0000"/>
          <w:sz w:val="24"/>
          <w:szCs w:val="24"/>
        </w:rPr>
        <w:t>（仅供参考）</w:t>
      </w:r>
    </w:p>
    <w:p>
      <w:pPr>
        <w:spacing w:line="360" w:lineRule="auto"/>
        <w:ind w:firstLine="437"/>
        <w:rPr>
          <w:rFonts w:hint="eastAsia" w:ascii="宋体" w:hAnsi="宋体" w:eastAsia="宋体"/>
          <w:b/>
          <w:sz w:val="24"/>
          <w:szCs w:val="18"/>
          <w:lang w:eastAsia="zh-CN"/>
        </w:rPr>
      </w:pPr>
      <w:r>
        <w:rPr>
          <w:rFonts w:hint="eastAsia" w:ascii="宋体" w:hAnsi="宋体" w:eastAsia="宋体"/>
          <w:b/>
          <w:sz w:val="24"/>
          <w:szCs w:val="18"/>
        </w:rPr>
        <w:t>一、</w:t>
      </w:r>
      <w:r>
        <w:rPr>
          <w:rFonts w:hint="eastAsia" w:ascii="宋体" w:hAnsi="宋体" w:eastAsia="宋体"/>
          <w:b/>
          <w:sz w:val="24"/>
          <w:szCs w:val="18"/>
          <w:highlight w:val="none"/>
        </w:rPr>
        <w:t>采购需求前附表</w:t>
      </w:r>
    </w:p>
    <w:tbl>
      <w:tblPr>
        <w:tblStyle w:val="5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2032"/>
        <w:gridCol w:w="5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2" w:hRule="atLeast"/>
          <w:jc w:val="center"/>
        </w:trPr>
        <w:tc>
          <w:tcPr>
            <w:tcW w:w="587" w:type="pct"/>
            <w:vAlign w:val="center"/>
          </w:tcPr>
          <w:p>
            <w:pPr>
              <w:pStyle w:val="107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="宋体" w:hAnsi="宋体" w:eastAsia="宋体"/>
                <w:b/>
                <w:kern w:val="2"/>
              </w:rPr>
            </w:pPr>
            <w:r>
              <w:rPr>
                <w:rFonts w:hint="eastAsia" w:ascii="宋体" w:hAnsi="宋体" w:eastAsia="宋体"/>
                <w:b/>
                <w:kern w:val="2"/>
              </w:rPr>
              <w:t>序号</w:t>
            </w:r>
          </w:p>
        </w:tc>
        <w:tc>
          <w:tcPr>
            <w:tcW w:w="1192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rPr>
                <w:rFonts w:ascii="宋体" w:hAnsi="宋体" w:eastAsia="宋体"/>
                <w:bCs w:val="0"/>
                <w:sz w:val="24"/>
              </w:rPr>
            </w:pPr>
            <w:r>
              <w:rPr>
                <w:rFonts w:hint="eastAsia" w:ascii="宋体" w:hAnsi="宋体" w:eastAsia="宋体"/>
                <w:bCs w:val="0"/>
                <w:sz w:val="24"/>
              </w:rPr>
              <w:t>条款名称</w:t>
            </w:r>
          </w:p>
        </w:tc>
        <w:tc>
          <w:tcPr>
            <w:tcW w:w="3219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rPr>
                <w:rFonts w:ascii="宋体" w:hAnsi="宋体" w:eastAsia="宋体"/>
                <w:bCs w:val="0"/>
                <w:sz w:val="24"/>
              </w:rPr>
            </w:pPr>
            <w:r>
              <w:rPr>
                <w:rFonts w:hint="eastAsia" w:ascii="宋体" w:hAnsi="宋体" w:eastAsia="宋体"/>
                <w:bCs w:val="0"/>
                <w:sz w:val="24"/>
              </w:rPr>
              <w:t>内容、说明与要求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87" w:type="pct"/>
            <w:vAlign w:val="center"/>
          </w:tcPr>
          <w:p>
            <w:pPr>
              <w:pStyle w:val="107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="宋体" w:hAnsi="宋体" w:eastAsia="宋体"/>
                <w:bCs/>
                <w:kern w:val="2"/>
              </w:rPr>
            </w:pPr>
            <w:r>
              <w:rPr>
                <w:rFonts w:hint="eastAsia" w:ascii="宋体" w:hAnsi="宋体" w:eastAsia="宋体"/>
                <w:bCs/>
                <w:kern w:val="2"/>
              </w:rPr>
              <w:t>1</w:t>
            </w:r>
          </w:p>
        </w:tc>
        <w:tc>
          <w:tcPr>
            <w:tcW w:w="1192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rPr>
                <w:rFonts w:ascii="宋体" w:hAnsi="宋体" w:eastAsia="宋体"/>
                <w:b w:val="0"/>
                <w:sz w:val="24"/>
              </w:rPr>
            </w:pPr>
            <w:r>
              <w:rPr>
                <w:rFonts w:hint="eastAsia" w:ascii="宋体" w:hAnsi="宋体" w:eastAsia="宋体"/>
                <w:b w:val="0"/>
                <w:sz w:val="24"/>
              </w:rPr>
              <w:t>付款方式</w:t>
            </w:r>
          </w:p>
        </w:tc>
        <w:tc>
          <w:tcPr>
            <w:tcW w:w="3219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jc w:val="left"/>
              <w:rPr>
                <w:rFonts w:ascii="宋体" w:hAnsi="宋体" w:eastAsia="宋体" w:cs="@仿宋_GB2312"/>
                <w:b w:val="0"/>
                <w:bCs/>
                <w:kern w:val="0"/>
                <w:sz w:val="24"/>
                <w:szCs w:val="28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sz w:val="24"/>
              </w:rPr>
              <w:t>按采购人需求分批供货，每批次供货完毕并验收合格满六个月后</w:t>
            </w:r>
            <w:r>
              <w:rPr>
                <w:rFonts w:hint="eastAsia" w:ascii="宋体" w:hAnsi="宋体" w:eastAsia="宋体"/>
                <w:b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b w:val="0"/>
                <w:sz w:val="24"/>
              </w:rPr>
              <w:t>0个工作日内一次性无息付清该批货款。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87" w:type="pct"/>
            <w:vAlign w:val="center"/>
          </w:tcPr>
          <w:p>
            <w:pPr>
              <w:pStyle w:val="107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="宋体" w:hAnsi="宋体" w:eastAsia="宋体"/>
                <w:bCs/>
                <w:kern w:val="2"/>
              </w:rPr>
            </w:pPr>
            <w:r>
              <w:rPr>
                <w:rFonts w:hint="eastAsia" w:ascii="宋体" w:hAnsi="宋体" w:eastAsia="宋体"/>
                <w:bCs/>
                <w:kern w:val="2"/>
              </w:rPr>
              <w:t>2</w:t>
            </w:r>
          </w:p>
        </w:tc>
        <w:tc>
          <w:tcPr>
            <w:tcW w:w="1192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rPr>
                <w:rFonts w:ascii="宋体" w:hAnsi="宋体" w:eastAsia="宋体"/>
                <w:b w:val="0"/>
                <w:sz w:val="24"/>
              </w:rPr>
            </w:pPr>
            <w:r>
              <w:rPr>
                <w:rFonts w:hint="eastAsia" w:ascii="宋体" w:hAnsi="宋体" w:eastAsia="宋体"/>
                <w:b w:val="0"/>
                <w:sz w:val="24"/>
              </w:rPr>
              <w:t>供货及安装地点</w:t>
            </w:r>
          </w:p>
        </w:tc>
        <w:tc>
          <w:tcPr>
            <w:tcW w:w="3219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jc w:val="left"/>
              <w:rPr>
                <w:rFonts w:ascii="宋体" w:hAnsi="宋体" w:eastAsia="宋体" w:cs="@仿宋_GB2312"/>
                <w:b w:val="0"/>
                <w:bCs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sz w:val="24"/>
              </w:rPr>
              <w:t>安徽省妇幼保健院，采购人指定地点。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87" w:type="pct"/>
            <w:vAlign w:val="center"/>
          </w:tcPr>
          <w:p>
            <w:pPr>
              <w:pStyle w:val="107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="宋体" w:hAnsi="宋体" w:eastAsia="宋体"/>
                <w:bCs/>
                <w:kern w:val="2"/>
              </w:rPr>
            </w:pPr>
            <w:r>
              <w:rPr>
                <w:rFonts w:hint="eastAsia" w:ascii="宋体" w:hAnsi="宋体" w:eastAsia="宋体"/>
                <w:bCs/>
                <w:kern w:val="2"/>
              </w:rPr>
              <w:t>3</w:t>
            </w:r>
          </w:p>
        </w:tc>
        <w:tc>
          <w:tcPr>
            <w:tcW w:w="1192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rPr>
                <w:rFonts w:ascii="宋体" w:hAnsi="宋体" w:eastAsia="宋体"/>
                <w:b w:val="0"/>
                <w:sz w:val="24"/>
              </w:rPr>
            </w:pPr>
            <w:r>
              <w:rPr>
                <w:rFonts w:hint="eastAsia" w:ascii="宋体" w:hAnsi="宋体" w:eastAsia="宋体"/>
                <w:b w:val="0"/>
                <w:sz w:val="24"/>
              </w:rPr>
              <w:t>供货及安装期限</w:t>
            </w:r>
          </w:p>
        </w:tc>
        <w:tc>
          <w:tcPr>
            <w:tcW w:w="3219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jc w:val="left"/>
              <w:rPr>
                <w:rFonts w:ascii="宋体" w:hAnsi="宋体" w:eastAsia="宋体" w:cs="@仿宋_GB2312"/>
                <w:b w:val="0"/>
                <w:bCs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sz w:val="24"/>
              </w:rPr>
              <w:t>合同签订后根据采购人使用情况按月分批供货，每批供货须于接采购人通知后3个日历天内完成。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2" w:hRule="atLeast"/>
          <w:jc w:val="center"/>
        </w:trPr>
        <w:tc>
          <w:tcPr>
            <w:tcW w:w="587" w:type="pct"/>
            <w:vAlign w:val="center"/>
          </w:tcPr>
          <w:p>
            <w:pPr>
              <w:pStyle w:val="107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="宋体" w:hAnsi="宋体" w:eastAsia="宋体"/>
                <w:bCs/>
                <w:kern w:val="2"/>
              </w:rPr>
            </w:pPr>
            <w:r>
              <w:rPr>
                <w:rFonts w:hint="eastAsia" w:ascii="宋体" w:hAnsi="宋体" w:eastAsia="宋体"/>
                <w:bCs/>
                <w:kern w:val="2"/>
              </w:rPr>
              <w:t>4</w:t>
            </w:r>
          </w:p>
        </w:tc>
        <w:tc>
          <w:tcPr>
            <w:tcW w:w="1192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rPr>
                <w:rFonts w:ascii="宋体" w:hAnsi="宋体" w:eastAsia="宋体"/>
                <w:b w:val="0"/>
                <w:sz w:val="24"/>
              </w:rPr>
            </w:pPr>
            <w:r>
              <w:rPr>
                <w:rFonts w:hint="eastAsia" w:ascii="宋体" w:hAnsi="宋体" w:eastAsia="宋体"/>
                <w:b w:val="0"/>
                <w:sz w:val="24"/>
              </w:rPr>
              <w:t>免费质保期</w:t>
            </w:r>
          </w:p>
        </w:tc>
        <w:tc>
          <w:tcPr>
            <w:tcW w:w="3219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jc w:val="left"/>
              <w:rPr>
                <w:rFonts w:ascii="宋体" w:hAnsi="宋体" w:eastAsia="宋体" w:cs="@仿宋_GB2312"/>
                <w:b w:val="0"/>
                <w:bCs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sz w:val="24"/>
              </w:rPr>
              <w:t>每批次供货，自验收合格之日起有效期不少于一年</w:t>
            </w:r>
            <w:r>
              <w:rPr>
                <w:rFonts w:hint="eastAsia" w:ascii="宋体" w:hAnsi="宋体" w:eastAsia="宋体"/>
                <w:b w:val="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87" w:type="pct"/>
            <w:vAlign w:val="center"/>
          </w:tcPr>
          <w:p>
            <w:pPr>
              <w:pStyle w:val="107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hint="eastAsia" w:ascii="宋体" w:hAnsi="宋体" w:eastAsia="宋体" w:cs="宋体"/>
                <w:bCs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</w:rPr>
              <w:t>5</w:t>
            </w:r>
          </w:p>
        </w:tc>
        <w:tc>
          <w:tcPr>
            <w:tcW w:w="1192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highlight w:val="none"/>
                <w:lang w:val="en-US" w:eastAsia="zh-CN"/>
              </w:rPr>
              <w:t>技术参数要求</w:t>
            </w:r>
          </w:p>
        </w:tc>
        <w:tc>
          <w:tcPr>
            <w:tcW w:w="3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Times New Roman" w:hAnsi="Times New Roman" w:eastAsia="宋体" w:cs="Times New Roman"/>
                <w:b w:val="0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0"/>
                <w:highlight w:val="none"/>
                <w:lang w:val="en-US" w:eastAsia="zh-CN" w:bidi="ar-SA"/>
              </w:rPr>
              <w:t>★条款须满足或优于谈判文件要求，否则响应无效；非★条款如出现负偏离，由谈判小组讨论后酌情评审。</w:t>
            </w:r>
          </w:p>
        </w:tc>
      </w:tr>
    </w:tbl>
    <w:p>
      <w:pPr>
        <w:rPr>
          <w:rFonts w:hint="eastAsia" w:ascii="宋体" w:hAnsi="宋体" w:eastAsia="宋体"/>
          <w:b/>
          <w:bCs/>
          <w:sz w:val="24"/>
          <w:szCs w:val="18"/>
        </w:rPr>
      </w:pPr>
    </w:p>
    <w:p>
      <w:pPr>
        <w:spacing w:line="360" w:lineRule="auto"/>
        <w:ind w:firstLine="437"/>
        <w:rPr>
          <w:rFonts w:hint="eastAsia" w:ascii="宋体" w:hAnsi="宋体" w:eastAsia="宋体"/>
          <w:b/>
          <w:bCs/>
          <w:sz w:val="24"/>
          <w:szCs w:val="18"/>
          <w:highlight w:val="red"/>
          <w:lang w:eastAsia="zh-CN"/>
        </w:rPr>
      </w:pPr>
      <w:r>
        <w:rPr>
          <w:rFonts w:hint="eastAsia" w:ascii="宋体" w:hAnsi="宋体" w:eastAsia="宋体"/>
          <w:b/>
          <w:bCs/>
          <w:sz w:val="24"/>
          <w:szCs w:val="18"/>
        </w:rPr>
        <w:t>二、货物需求一览表</w:t>
      </w:r>
    </w:p>
    <w:tbl>
      <w:tblPr>
        <w:tblStyle w:val="5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539"/>
        <w:gridCol w:w="2771"/>
        <w:gridCol w:w="1141"/>
        <w:gridCol w:w="808"/>
        <w:gridCol w:w="975"/>
        <w:gridCol w:w="820"/>
        <w:gridCol w:w="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9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>包别</w:t>
            </w:r>
          </w:p>
        </w:tc>
        <w:tc>
          <w:tcPr>
            <w:tcW w:w="31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1625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6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</w:rPr>
              <w:t>数量</w:t>
            </w:r>
            <w:r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  <w:lang w:val="en-US" w:eastAsia="zh-CN"/>
              </w:rPr>
              <w:t>预估量</w:t>
            </w:r>
            <w:r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74" w:type="pct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57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18"/>
              </w:rPr>
              <w:t>所属行业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  <w:highlight w:val="none"/>
              </w:rPr>
              <w:t>备注</w:t>
            </w:r>
          </w:p>
        </w:tc>
        <w:tc>
          <w:tcPr>
            <w:tcW w:w="5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最高限价（元）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94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第1包</w:t>
            </w:r>
          </w:p>
        </w:tc>
        <w:tc>
          <w:tcPr>
            <w:tcW w:w="31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2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sz w:val="24"/>
                <w:szCs w:val="18"/>
              </w:rPr>
              <w:t>▲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精子核完整性染色试剂</w:t>
            </w:r>
          </w:p>
        </w:tc>
        <w:tc>
          <w:tcPr>
            <w:tcW w:w="6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47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人份</w:t>
            </w:r>
          </w:p>
        </w:tc>
        <w:tc>
          <w:tcPr>
            <w:tcW w:w="57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56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94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62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sz w:val="24"/>
                <w:szCs w:val="18"/>
              </w:rPr>
              <w:t>▲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精子顶体染色试剂</w:t>
            </w:r>
          </w:p>
        </w:tc>
        <w:tc>
          <w:tcPr>
            <w:tcW w:w="6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47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人份</w:t>
            </w:r>
          </w:p>
        </w:tc>
        <w:tc>
          <w:tcPr>
            <w:tcW w:w="57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56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94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62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精子尾部中段染色试剂</w:t>
            </w:r>
          </w:p>
        </w:tc>
        <w:tc>
          <w:tcPr>
            <w:tcW w:w="6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47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人份</w:t>
            </w:r>
          </w:p>
        </w:tc>
        <w:tc>
          <w:tcPr>
            <w:tcW w:w="57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56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94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62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sz w:val="24"/>
                <w:szCs w:val="18"/>
              </w:rPr>
              <w:t>▲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抗缪勒氏管激素（AMH）测定试剂盒（化学发光免疫分析法）</w:t>
            </w:r>
          </w:p>
        </w:tc>
        <w:tc>
          <w:tcPr>
            <w:tcW w:w="6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47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57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56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94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62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216"/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bidi="ar"/>
              </w:rPr>
              <w:t>抗缪勒氏管激素</w:t>
            </w:r>
            <w:r>
              <w:rPr>
                <w:rStyle w:val="230"/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bidi="ar"/>
              </w:rPr>
              <w:t>(AMH)</w:t>
            </w:r>
            <w:r>
              <w:rPr>
                <w:rStyle w:val="194"/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bidi="ar"/>
              </w:rPr>
              <w:t>校准品</w:t>
            </w:r>
          </w:p>
        </w:tc>
        <w:tc>
          <w:tcPr>
            <w:tcW w:w="6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7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瓶</w:t>
            </w:r>
          </w:p>
        </w:tc>
        <w:tc>
          <w:tcPr>
            <w:tcW w:w="57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56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94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62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清洗液</w:t>
            </w:r>
          </w:p>
        </w:tc>
        <w:tc>
          <w:tcPr>
            <w:tcW w:w="6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7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瓶</w:t>
            </w:r>
          </w:p>
        </w:tc>
        <w:tc>
          <w:tcPr>
            <w:tcW w:w="57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56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94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62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全自动免疫检验系统用底物液</w:t>
            </w:r>
          </w:p>
        </w:tc>
        <w:tc>
          <w:tcPr>
            <w:tcW w:w="6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7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瓶</w:t>
            </w:r>
          </w:p>
        </w:tc>
        <w:tc>
          <w:tcPr>
            <w:tcW w:w="57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56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94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62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反应杯</w:t>
            </w:r>
          </w:p>
        </w:tc>
        <w:tc>
          <w:tcPr>
            <w:tcW w:w="6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7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包</w:t>
            </w:r>
          </w:p>
        </w:tc>
        <w:tc>
          <w:tcPr>
            <w:tcW w:w="57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56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94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62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系统维护液</w:t>
            </w:r>
          </w:p>
        </w:tc>
        <w:tc>
          <w:tcPr>
            <w:tcW w:w="6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7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瓶</w:t>
            </w:r>
          </w:p>
        </w:tc>
        <w:tc>
          <w:tcPr>
            <w:tcW w:w="57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56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94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62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样本稀释液</w:t>
            </w:r>
          </w:p>
        </w:tc>
        <w:tc>
          <w:tcPr>
            <w:tcW w:w="6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7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瓶</w:t>
            </w:r>
          </w:p>
        </w:tc>
        <w:tc>
          <w:tcPr>
            <w:tcW w:w="57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56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94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62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sz w:val="24"/>
                <w:szCs w:val="18"/>
              </w:rPr>
              <w:t>▲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胎儿纤维链接蛋白试剂盒</w:t>
            </w:r>
          </w:p>
        </w:tc>
        <w:tc>
          <w:tcPr>
            <w:tcW w:w="6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47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人份</w:t>
            </w:r>
          </w:p>
        </w:tc>
        <w:tc>
          <w:tcPr>
            <w:tcW w:w="57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56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94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62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sz w:val="24"/>
                <w:szCs w:val="18"/>
              </w:rPr>
              <w:t>▲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胎盘生长因子检测试剂盒</w:t>
            </w:r>
          </w:p>
        </w:tc>
        <w:tc>
          <w:tcPr>
            <w:tcW w:w="6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47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人份</w:t>
            </w:r>
          </w:p>
        </w:tc>
        <w:tc>
          <w:tcPr>
            <w:tcW w:w="57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56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94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62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216"/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bidi="ar"/>
              </w:rPr>
              <w:t>7</w:t>
            </w:r>
            <w:r>
              <w:rPr>
                <w:rStyle w:val="194"/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bidi="ar"/>
              </w:rPr>
              <w:t>项细胞因子检测试剂盒（</w:t>
            </w:r>
            <w:r>
              <w:rPr>
                <w:rStyle w:val="230"/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bidi="ar"/>
              </w:rPr>
              <w:t>IFN-</w:t>
            </w:r>
            <w:r>
              <w:rPr>
                <w:rStyle w:val="194"/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bidi="ar"/>
              </w:rPr>
              <w:t>γ</w:t>
            </w:r>
            <w:r>
              <w:rPr>
                <w:rStyle w:val="230"/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bidi="ar"/>
              </w:rPr>
              <w:t>/IL-2/IL-4/IL-6/IL-10/IL-17/TNF</w:t>
            </w:r>
            <w:r>
              <w:rPr>
                <w:rStyle w:val="194"/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bidi="ar"/>
              </w:rPr>
              <w:t>α检测试剂）</w:t>
            </w:r>
          </w:p>
        </w:tc>
        <w:tc>
          <w:tcPr>
            <w:tcW w:w="6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47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人份</w:t>
            </w:r>
          </w:p>
        </w:tc>
        <w:tc>
          <w:tcPr>
            <w:tcW w:w="57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56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94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62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216"/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bidi="ar"/>
              </w:rPr>
              <w:t>14</w:t>
            </w:r>
            <w:r>
              <w:rPr>
                <w:rStyle w:val="194"/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bidi="ar"/>
              </w:rPr>
              <w:t>项细胞因子检测试剂盒（</w:t>
            </w:r>
            <w:r>
              <w:rPr>
                <w:rStyle w:val="230"/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bidi="ar"/>
              </w:rPr>
              <w:t>IFN-</w:t>
            </w:r>
            <w:r>
              <w:rPr>
                <w:rStyle w:val="194"/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bidi="ar"/>
              </w:rPr>
              <w:t>γ</w:t>
            </w:r>
            <w:r>
              <w:rPr>
                <w:rStyle w:val="230"/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bidi="ar"/>
              </w:rPr>
              <w:t>/IL-1</w:t>
            </w:r>
            <w:r>
              <w:rPr>
                <w:rStyle w:val="194"/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bidi="ar"/>
              </w:rPr>
              <w:t>β</w:t>
            </w:r>
            <w:r>
              <w:rPr>
                <w:rStyle w:val="230"/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bidi="ar"/>
              </w:rPr>
              <w:t>/IL-2/IL-4/IL-5/IL-6/IL-8/IL-10/IL-12p70/IL-17A</w:t>
            </w:r>
            <w:r>
              <w:rPr>
                <w:rStyle w:val="194"/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bidi="ar"/>
              </w:rPr>
              <w:t>／</w:t>
            </w:r>
            <w:r>
              <w:rPr>
                <w:rStyle w:val="230"/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bidi="ar"/>
              </w:rPr>
              <w:t>IL-17F/IL-22/TNF</w:t>
            </w:r>
            <w:r>
              <w:rPr>
                <w:rStyle w:val="194"/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bidi="ar"/>
              </w:rPr>
              <w:t>α</w:t>
            </w:r>
            <w:r>
              <w:rPr>
                <w:rStyle w:val="230"/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bidi="ar"/>
              </w:rPr>
              <w:t>/TNF-</w:t>
            </w:r>
            <w:r>
              <w:rPr>
                <w:rStyle w:val="194"/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bidi="ar"/>
              </w:rPr>
              <w:t>β检测试剂）</w:t>
            </w:r>
          </w:p>
        </w:tc>
        <w:tc>
          <w:tcPr>
            <w:tcW w:w="6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47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人份</w:t>
            </w:r>
          </w:p>
        </w:tc>
        <w:tc>
          <w:tcPr>
            <w:tcW w:w="57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56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94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62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CD14-FITC</w:t>
            </w:r>
          </w:p>
        </w:tc>
        <w:tc>
          <w:tcPr>
            <w:tcW w:w="6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47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人份</w:t>
            </w:r>
          </w:p>
        </w:tc>
        <w:tc>
          <w:tcPr>
            <w:tcW w:w="57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56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94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62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CD64-PE</w:t>
            </w:r>
          </w:p>
        </w:tc>
        <w:tc>
          <w:tcPr>
            <w:tcW w:w="6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47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人份</w:t>
            </w:r>
          </w:p>
        </w:tc>
        <w:tc>
          <w:tcPr>
            <w:tcW w:w="57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56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94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62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CD45-PerCP</w:t>
            </w:r>
          </w:p>
        </w:tc>
        <w:tc>
          <w:tcPr>
            <w:tcW w:w="6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47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人份</w:t>
            </w:r>
          </w:p>
        </w:tc>
        <w:tc>
          <w:tcPr>
            <w:tcW w:w="572" w:type="pct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481" w:type="pct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56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94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62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HLA-DR-APC</w:t>
            </w:r>
          </w:p>
        </w:tc>
        <w:tc>
          <w:tcPr>
            <w:tcW w:w="6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47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人份</w:t>
            </w:r>
          </w:p>
        </w:tc>
        <w:tc>
          <w:tcPr>
            <w:tcW w:w="57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481" w:type="pct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56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94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62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CD3-PerCP-Cy5.5</w:t>
            </w:r>
          </w:p>
        </w:tc>
        <w:tc>
          <w:tcPr>
            <w:tcW w:w="6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47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人份</w:t>
            </w:r>
          </w:p>
        </w:tc>
        <w:tc>
          <w:tcPr>
            <w:tcW w:w="57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481" w:type="pct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56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94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62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216"/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bidi="ar"/>
              </w:rPr>
              <w:t>CD4</w:t>
            </w:r>
            <w:r>
              <w:rPr>
                <w:rStyle w:val="194"/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bidi="ar"/>
              </w:rPr>
              <w:t>-FITC</w:t>
            </w:r>
          </w:p>
        </w:tc>
        <w:tc>
          <w:tcPr>
            <w:tcW w:w="6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47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人份</w:t>
            </w:r>
          </w:p>
        </w:tc>
        <w:tc>
          <w:tcPr>
            <w:tcW w:w="57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481" w:type="pct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56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94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62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216"/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bidi="ar"/>
              </w:rPr>
              <w:t>CD25</w:t>
            </w:r>
            <w:r>
              <w:rPr>
                <w:rStyle w:val="194"/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bidi="ar"/>
              </w:rPr>
              <w:t>-APC</w:t>
            </w:r>
          </w:p>
        </w:tc>
        <w:tc>
          <w:tcPr>
            <w:tcW w:w="6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47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人份</w:t>
            </w:r>
          </w:p>
        </w:tc>
        <w:tc>
          <w:tcPr>
            <w:tcW w:w="57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481" w:type="pct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56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94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62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216"/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bidi="ar"/>
              </w:rPr>
              <w:t>CD127</w:t>
            </w:r>
            <w:r>
              <w:rPr>
                <w:rStyle w:val="194"/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bidi="ar"/>
              </w:rPr>
              <w:t>-PE</w:t>
            </w:r>
          </w:p>
        </w:tc>
        <w:tc>
          <w:tcPr>
            <w:tcW w:w="6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47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人份</w:t>
            </w:r>
          </w:p>
        </w:tc>
        <w:tc>
          <w:tcPr>
            <w:tcW w:w="57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481" w:type="pct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56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94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62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血细胞分析用溶血剂</w:t>
            </w:r>
          </w:p>
        </w:tc>
        <w:tc>
          <w:tcPr>
            <w:tcW w:w="6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47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人份</w:t>
            </w:r>
          </w:p>
        </w:tc>
        <w:tc>
          <w:tcPr>
            <w:tcW w:w="57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481" w:type="pct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56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94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62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绝对计数微球试剂盒（流式细胞仪法）</w:t>
            </w:r>
          </w:p>
        </w:tc>
        <w:tc>
          <w:tcPr>
            <w:tcW w:w="6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47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人份</w:t>
            </w:r>
          </w:p>
        </w:tc>
        <w:tc>
          <w:tcPr>
            <w:tcW w:w="57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481" w:type="pct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56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9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第2包</w:t>
            </w:r>
          </w:p>
        </w:tc>
        <w:tc>
          <w:tcPr>
            <w:tcW w:w="3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1</w:t>
            </w:r>
          </w:p>
        </w:tc>
        <w:tc>
          <w:tcPr>
            <w:tcW w:w="1625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lang w:val="en-US" w:eastAsia="zh-CN" w:bidi="ar-SA"/>
              </w:rPr>
            </w:pPr>
            <w:r>
              <w:rPr>
                <w:rFonts w:ascii="宋体" w:hAnsi="宋体" w:eastAsia="宋体"/>
                <w:sz w:val="24"/>
                <w:szCs w:val="18"/>
              </w:rPr>
              <w:t>▲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精子检测板</w:t>
            </w:r>
          </w:p>
        </w:tc>
        <w:tc>
          <w:tcPr>
            <w:tcW w:w="66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200</w:t>
            </w:r>
          </w:p>
        </w:tc>
        <w:tc>
          <w:tcPr>
            <w:tcW w:w="474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人份</w:t>
            </w:r>
          </w:p>
        </w:tc>
        <w:tc>
          <w:tcPr>
            <w:tcW w:w="57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481" w:type="pct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94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2</w:t>
            </w:r>
          </w:p>
        </w:tc>
        <w:tc>
          <w:tcPr>
            <w:tcW w:w="1625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lang w:val="en-US" w:eastAsia="zh-CN" w:bidi="ar-SA"/>
              </w:rPr>
            </w:pPr>
            <w:r>
              <w:rPr>
                <w:rFonts w:ascii="宋体" w:hAnsi="宋体" w:eastAsia="宋体"/>
                <w:sz w:val="24"/>
                <w:szCs w:val="18"/>
              </w:rPr>
              <w:t>▲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胚胎实验室RFID标签</w:t>
            </w:r>
          </w:p>
        </w:tc>
        <w:tc>
          <w:tcPr>
            <w:tcW w:w="66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200</w:t>
            </w:r>
          </w:p>
        </w:tc>
        <w:tc>
          <w:tcPr>
            <w:tcW w:w="474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人份</w:t>
            </w:r>
          </w:p>
        </w:tc>
        <w:tc>
          <w:tcPr>
            <w:tcW w:w="57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481" w:type="pct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32</w:t>
            </w:r>
          </w:p>
        </w:tc>
      </w:tr>
    </w:tbl>
    <w:p>
      <w:pPr>
        <w:rPr>
          <w:rFonts w:ascii="宋体" w:hAnsi="宋体" w:eastAsia="宋体"/>
          <w:b/>
          <w:bCs/>
          <w:sz w:val="24"/>
          <w:szCs w:val="18"/>
        </w:rPr>
      </w:pPr>
    </w:p>
    <w:p>
      <w:pPr>
        <w:spacing w:line="360" w:lineRule="auto"/>
        <w:ind w:firstLine="437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18"/>
          <w:lang w:val="en-US" w:eastAsia="zh-CN"/>
        </w:rPr>
        <w:t>三</w:t>
      </w:r>
      <w:r>
        <w:rPr>
          <w:rFonts w:hint="default" w:ascii="宋体" w:hAnsi="宋体" w:eastAsia="宋体"/>
          <w:b/>
          <w:bCs/>
          <w:sz w:val="24"/>
          <w:szCs w:val="18"/>
          <w:lang w:eastAsia="zh-CN"/>
        </w:rPr>
        <w:t>、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技术参数及要求</w:t>
      </w:r>
    </w:p>
    <w:p>
      <w:pPr>
        <w:spacing w:line="360" w:lineRule="auto"/>
        <w:ind w:firstLine="437"/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第1包：</w:t>
      </w:r>
    </w:p>
    <w:tbl>
      <w:tblPr>
        <w:tblStyle w:val="59"/>
        <w:tblW w:w="4998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2108"/>
        <w:gridCol w:w="57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37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39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技术参数及要求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37" w:type="pct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精子核完整性染色试剂</w:t>
            </w:r>
          </w:p>
        </w:tc>
        <w:tc>
          <w:tcPr>
            <w:tcW w:w="3399" w:type="pct"/>
            <w:vMerge w:val="restart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0"/>
                <w:highlight w:val="none"/>
                <w:lang w:val="en-US" w:eastAsia="zh-CN" w:bidi="ar-SA"/>
              </w:rPr>
              <w:t>★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1、检测方法学：使用于荧光显微镜与流式细胞仪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2、试剂有效期：2-8°下，原包装存放的试剂有效期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不低于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12个月。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3、染色稳定性：样品染色完成后，测试染色结果， 2-8℃储存40分钟，重复检测，前后两次检测的结果变化相对偏差应不大于20%。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4、结果检测分析：有结果自动分析系统。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37" w:type="pct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精子顶体染色试剂</w:t>
            </w:r>
          </w:p>
        </w:tc>
        <w:tc>
          <w:tcPr>
            <w:tcW w:w="3399" w:type="pct"/>
            <w:vMerge w:val="continue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237" w:type="pct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精子尾部中段染色试剂</w:t>
            </w:r>
          </w:p>
        </w:tc>
        <w:tc>
          <w:tcPr>
            <w:tcW w:w="3399" w:type="pct"/>
            <w:vMerge w:val="continue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7" w:hRule="atLeast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237" w:type="pct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抗缪勒氏管激素（AMH）测定试剂盒（化学发光免疫分析法</w:t>
            </w:r>
          </w:p>
        </w:tc>
        <w:tc>
          <w:tcPr>
            <w:tcW w:w="3399" w:type="pct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1、检测方法学：化学发光法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2、试剂储存及有效期：未开封试剂，2-8℃保存，有效期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≥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12个月；开封试剂，2-8℃，4周。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3、产品性能指标：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（1）线性：试剂盒在0.07-18 ng/mL区间内，其相关系数（r）应不低于0.9900。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（2）准确度：对具有溯源性的两个浓度水平的正确度控制品进行检测，检测结果与标定浓度的相对偏差在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10%范围内。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（3）检出限：检出限应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≤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0.06ng/mL。</w:t>
            </w:r>
          </w:p>
          <w:p>
            <w:pPr>
              <w:jc w:val="left"/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（4）参考区间：检测试剂参考范围区间（20-50岁）年龄间隔设置不大于5岁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37" w:type="pct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抗缪勒氏管激素(AMH)校准品</w:t>
            </w:r>
          </w:p>
        </w:tc>
        <w:tc>
          <w:tcPr>
            <w:tcW w:w="3399" w:type="pct"/>
            <w:vMerge w:val="restart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1、满足配套设备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eastAsia="zh-CN"/>
              </w:rPr>
              <w:t>（科斯迈kaeser1000）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使用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37" w:type="pct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清洗液</w:t>
            </w:r>
          </w:p>
        </w:tc>
        <w:tc>
          <w:tcPr>
            <w:tcW w:w="3399" w:type="pct"/>
            <w:vMerge w:val="continue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37" w:type="pct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全自动免疫检验系统用底物液</w:t>
            </w:r>
          </w:p>
        </w:tc>
        <w:tc>
          <w:tcPr>
            <w:tcW w:w="3399" w:type="pct"/>
            <w:vMerge w:val="continue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37" w:type="pct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反应杯</w:t>
            </w:r>
          </w:p>
        </w:tc>
        <w:tc>
          <w:tcPr>
            <w:tcW w:w="3399" w:type="pct"/>
            <w:vMerge w:val="continue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237" w:type="pct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系统维护液</w:t>
            </w:r>
          </w:p>
        </w:tc>
        <w:tc>
          <w:tcPr>
            <w:tcW w:w="3399" w:type="pct"/>
            <w:vMerge w:val="continue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237" w:type="pct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样本稀释液</w:t>
            </w:r>
          </w:p>
        </w:tc>
        <w:tc>
          <w:tcPr>
            <w:tcW w:w="3399" w:type="pct"/>
            <w:vMerge w:val="continue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237" w:type="pct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胎儿纤维链接蛋白试剂盒</w:t>
            </w:r>
          </w:p>
        </w:tc>
        <w:tc>
          <w:tcPr>
            <w:tcW w:w="3399" w:type="pct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1、一次检测，精确预测早产风险；</w:t>
            </w:r>
          </w:p>
          <w:p>
            <w:pPr>
              <w:jc w:val="left"/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2、灵敏度高，宫颈阴道分泌物中的Ffn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≥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50ng/mi即可被检出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3、准确度，阴性预测值接近100%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4、无创、快速，无需借助仪器即可操作；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5、特异性强，不易受精液、尿液等物质的干扰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6、试剂盒常温存储，产品有效期不低于24个月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按出厂日期计算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237" w:type="pct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胎盘生长因子（PLGF）检测试剂盒</w:t>
            </w:r>
          </w:p>
        </w:tc>
        <w:tc>
          <w:tcPr>
            <w:tcW w:w="3399" w:type="pct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1、检测方法：免疫荧光法。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2、适用样本类型：EDTA/肝素抗凝的血清、血浆或全血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3、检测范围：10~5000pg/mL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4、线性范围：12~3000pg/mL范围内，线性相关系数r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eastAsia="zh-CN"/>
              </w:rPr>
              <w:t>≥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0.95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5、准确度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eastAsia="zh-CN"/>
              </w:rPr>
              <w:t>≤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15%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6、样本检测时间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eastAsia="zh-CN"/>
              </w:rPr>
              <w:t>≤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20min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7、试剂存储条件与有效期：4~30℃保存，有效期不小于12个月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8、提供配套的质控品（不少于2个水平）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1237" w:type="pct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7项细胞因子检测试剂盒</w:t>
            </w:r>
          </w:p>
        </w:tc>
        <w:tc>
          <w:tcPr>
            <w:tcW w:w="3399" w:type="pct"/>
            <w:vMerge w:val="restart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1、试剂盒2-8℃存储，不开瓶有效期18个月；开瓶有效期30天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2、可以进行管式操作，也可板式操作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3、线性范2.3pg/ml-5000pg/ml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4、试剂盒自带标准品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5、检测样本量少，只需20ul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6、具有生物素与链霉亲和素的信号放大系统，需后加SA-PE，提高定量检测灵敏度，结果准确性更高。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1237" w:type="pct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14项细胞因子检测试剂盒</w:t>
            </w:r>
          </w:p>
        </w:tc>
        <w:tc>
          <w:tcPr>
            <w:tcW w:w="3399" w:type="pct"/>
            <w:vMerge w:val="continue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1237" w:type="pct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CD14-FITC</w:t>
            </w:r>
          </w:p>
        </w:tc>
        <w:tc>
          <w:tcPr>
            <w:tcW w:w="3399" w:type="pct"/>
            <w:vMerge w:val="restart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0"/>
                <w:highlight w:val="none"/>
                <w:lang w:val="en-US" w:eastAsia="zh-CN" w:bidi="ar-SA"/>
              </w:rPr>
              <w:t>★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1、配合流式细胞仪使用，通用型试剂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2、试剂盒2-8℃存储，有效期12个月；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1237" w:type="pct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CD64-PE</w:t>
            </w:r>
          </w:p>
        </w:tc>
        <w:tc>
          <w:tcPr>
            <w:tcW w:w="3399" w:type="pct"/>
            <w:vMerge w:val="continue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1237" w:type="pct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CD45-PerCP</w:t>
            </w:r>
          </w:p>
        </w:tc>
        <w:tc>
          <w:tcPr>
            <w:tcW w:w="3399" w:type="pct"/>
            <w:vMerge w:val="continue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237" w:type="pct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HLA-DR-APC</w:t>
            </w:r>
          </w:p>
        </w:tc>
        <w:tc>
          <w:tcPr>
            <w:tcW w:w="3399" w:type="pct"/>
            <w:vMerge w:val="continue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1237" w:type="pct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CD3-PerCP-Cy5.5</w:t>
            </w:r>
          </w:p>
        </w:tc>
        <w:tc>
          <w:tcPr>
            <w:tcW w:w="3399" w:type="pct"/>
            <w:vMerge w:val="continue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1237" w:type="pct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CD4-FITC</w:t>
            </w:r>
          </w:p>
        </w:tc>
        <w:tc>
          <w:tcPr>
            <w:tcW w:w="3399" w:type="pct"/>
            <w:vMerge w:val="continue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1237" w:type="pct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CD25-APC</w:t>
            </w:r>
          </w:p>
        </w:tc>
        <w:tc>
          <w:tcPr>
            <w:tcW w:w="3399" w:type="pct"/>
            <w:vMerge w:val="continue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1237" w:type="pct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CD127-PE</w:t>
            </w:r>
          </w:p>
        </w:tc>
        <w:tc>
          <w:tcPr>
            <w:tcW w:w="3399" w:type="pct"/>
            <w:vMerge w:val="continue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1237" w:type="pct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血细胞分析用溶血剂</w:t>
            </w:r>
          </w:p>
        </w:tc>
        <w:tc>
          <w:tcPr>
            <w:tcW w:w="3399" w:type="pct"/>
            <w:vMerge w:val="continue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1237" w:type="pct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绝对计数微球试剂盒（流式细胞仪法）</w:t>
            </w:r>
          </w:p>
        </w:tc>
        <w:tc>
          <w:tcPr>
            <w:tcW w:w="3399" w:type="pct"/>
            <w:vMerge w:val="continue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437"/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ind w:firstLine="437"/>
        <w:rPr>
          <w:rFonts w:hint="default" w:asciiTheme="minorEastAsia" w:hAnsiTheme="minor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第2包：</w:t>
      </w:r>
    </w:p>
    <w:tbl>
      <w:tblPr>
        <w:tblStyle w:val="59"/>
        <w:tblW w:w="4997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1816"/>
        <w:gridCol w:w="60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66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53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技术参数及要求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</w:t>
            </w:r>
          </w:p>
        </w:tc>
        <w:tc>
          <w:tcPr>
            <w:tcW w:w="1066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精子检测板</w:t>
            </w:r>
          </w:p>
        </w:tc>
        <w:tc>
          <w:tcPr>
            <w:tcW w:w="3530" w:type="pct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1、检测板材质：玻璃（双层）,上盖板玻璃厚度：0.5mm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0.01mm； </w:t>
            </w:r>
          </w:p>
          <w:p>
            <w:pPr>
              <w:rPr>
                <w:rFonts w:hint="default" w:ascii="Times New Roman" w:hAnsi="Times New Roman" w:eastAsia="宋体" w:cs="Times New Roman"/>
                <w:kern w:val="0"/>
                <w:sz w:val="24"/>
                <w:highlight w:val="red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2、每块检测板具备4个腔位，可匹配全自动精子质量分析仪连续扫描分析4个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  <w:t>样本，自动扫描区域符合医院现在使用仪器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highlight w:val="none"/>
                <w:lang w:eastAsia="zh-CN"/>
              </w:rPr>
              <w:t>（赛司SAS-II）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  <w:t>的要求；</w:t>
            </w:r>
          </w:p>
          <w:p>
            <w:pPr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0"/>
                <w:highlight w:val="none"/>
                <w:lang w:val="en-US" w:eastAsia="zh-CN" w:bidi="ar-SA"/>
              </w:rPr>
              <w:t>★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3、每个检测板更换时，SAS-Ⅱ系统扫描Z轴位置在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10微米范围内；</w:t>
            </w:r>
          </w:p>
          <w:p>
            <w:pPr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4、为了保证分析质量，每个腔室可保证最大视野数不低于110个；</w:t>
            </w:r>
          </w:p>
          <w:p>
            <w:pPr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5、腔位深度10微米，SAS-Ⅱ系统中可依据此项参数进行选择；</w:t>
            </w:r>
          </w:p>
          <w:p>
            <w:pPr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6、每个腔位深度误差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2μm,配合SAS-Ⅱ设备每次检查结果的CV值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≤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5,精子密度、活率测定结果的CV值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≤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5%;</w:t>
            </w:r>
          </w:p>
          <w:p>
            <w:pPr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7、每个腔位独立，与SAS-Ⅱ系统分析中，保证腔位之间不可串流，保证精子捕捉的误差率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≤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5%；</w:t>
            </w:r>
          </w:p>
          <w:p>
            <w:pPr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8、一次性使用，方便快捷，无污染；</w:t>
            </w:r>
          </w:p>
          <w:p>
            <w:pPr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9、清洁度高，边缘视野检测时自动跳过，凝结视野自动过滤；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10、可与SAS-Ⅱ系统检测卡对接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胚胎实验室RFID标签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1、无线射频标签 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2、射频标签所用材料为食品级别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3、同时读取数个RFID标签，且不受标签尺寸和形状的限制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4、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eastAsia="zh-Hans"/>
              </w:rPr>
              <w:t>对应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读写器的功率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＜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500毫瓦</w:t>
            </w:r>
          </w:p>
          <w:p>
            <w:pPr>
              <w:jc w:val="left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5、标签要求：可以直接贴于培养皿侧面，最小尺寸范围不可超出培养皿侧边沿，方便盖合。</w:t>
            </w:r>
          </w:p>
        </w:tc>
      </w:tr>
    </w:tbl>
    <w:p>
      <w:pPr>
        <w:spacing w:line="360" w:lineRule="auto"/>
        <w:ind w:firstLine="437"/>
        <w:rPr>
          <w:rFonts w:hint="eastAsia" w:ascii="宋体" w:hAnsi="宋体" w:eastAsia="宋体"/>
          <w:b/>
          <w:bCs/>
          <w:sz w:val="24"/>
          <w:szCs w:val="18"/>
          <w:lang w:val="en-US" w:eastAsia="zh-CN"/>
        </w:rPr>
      </w:pPr>
    </w:p>
    <w:p>
      <w:pPr>
        <w:spacing w:line="360" w:lineRule="auto"/>
        <w:ind w:firstLine="437"/>
        <w:rPr>
          <w:rFonts w:ascii="宋体" w:hAnsi="宋体" w:eastAsia="宋体"/>
          <w:b/>
          <w:bCs/>
          <w:sz w:val="24"/>
          <w:szCs w:val="18"/>
        </w:rPr>
      </w:pPr>
      <w:r>
        <w:rPr>
          <w:rFonts w:hint="eastAsia" w:ascii="宋体" w:hAnsi="宋体" w:eastAsia="宋体"/>
          <w:b/>
          <w:bCs/>
          <w:sz w:val="24"/>
          <w:szCs w:val="18"/>
          <w:lang w:val="en-US" w:eastAsia="zh-CN"/>
        </w:rPr>
        <w:t>四</w:t>
      </w:r>
      <w:r>
        <w:rPr>
          <w:rFonts w:hint="eastAsia" w:ascii="宋体" w:hAnsi="宋体" w:eastAsia="宋体"/>
          <w:b/>
          <w:bCs/>
          <w:sz w:val="24"/>
          <w:szCs w:val="18"/>
        </w:rPr>
        <w:t>、报价要求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4"/>
        </w:rPr>
        <w:t>、供应商须按货物需求一览表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中</w:t>
      </w:r>
      <w:r>
        <w:rPr>
          <w:rFonts w:hint="eastAsia" w:asciiTheme="minorEastAsia" w:hAnsiTheme="minorEastAsia" w:eastAsiaTheme="minorEastAsia"/>
          <w:sz w:val="24"/>
        </w:rPr>
        <w:t>内容对其中每种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产品</w:t>
      </w:r>
      <w:r>
        <w:rPr>
          <w:rFonts w:hint="eastAsia" w:asciiTheme="minorEastAsia" w:hAnsiTheme="minorEastAsia" w:eastAsiaTheme="minorEastAsia"/>
          <w:sz w:val="24"/>
        </w:rPr>
        <w:t>逐一报单价，并根据采购人提供的预估数量报总价。</w:t>
      </w:r>
      <w:r>
        <w:rPr>
          <w:rFonts w:hint="eastAsia" w:asciiTheme="minorEastAsia" w:hAnsiTheme="minorEastAsia" w:eastAsiaTheme="minorEastAsia"/>
          <w:b/>
          <w:bCs/>
          <w:sz w:val="24"/>
        </w:rPr>
        <w:t>总价作为定标依据，单价作为据实结算的依据，供应商在响应文件中须同时报单价及总价，仅有单价或仅有总价的，响应无效。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4"/>
        </w:rPr>
        <w:t>、</w:t>
      </w:r>
      <w:r>
        <w:rPr>
          <w:rFonts w:hint="eastAsia" w:asciiTheme="minorEastAsia" w:hAnsiTheme="minorEastAsia" w:eastAsiaTheme="minorEastAsia"/>
          <w:b/>
          <w:bCs/>
          <w:sz w:val="24"/>
        </w:rPr>
        <w:t>供应商在分项报价明细表中报出各项</w:t>
      </w:r>
      <w:r>
        <w:rPr>
          <w:rFonts w:hint="eastAsia" w:asciiTheme="minorEastAsia" w:hAnsiTheme="minorEastAsia" w:eastAsiaTheme="minorEastAsia"/>
          <w:b/>
          <w:bCs/>
          <w:sz w:val="24"/>
          <w:lang w:val="en-US" w:eastAsia="zh-CN"/>
        </w:rPr>
        <w:t>产品</w:t>
      </w:r>
      <w:r>
        <w:rPr>
          <w:rFonts w:hint="eastAsia" w:asciiTheme="minorEastAsia" w:hAnsiTheme="minorEastAsia" w:eastAsiaTheme="minorEastAsia"/>
          <w:b/>
          <w:bCs/>
          <w:sz w:val="24"/>
        </w:rPr>
        <w:t>单价，所报</w:t>
      </w:r>
      <w:r>
        <w:rPr>
          <w:rFonts w:hint="eastAsia" w:asciiTheme="minorEastAsia" w:hAnsiTheme="minorEastAsia" w:eastAsiaTheme="minorEastAsia"/>
          <w:b/>
          <w:bCs/>
          <w:sz w:val="24"/>
          <w:lang w:val="en-US" w:eastAsia="zh-CN"/>
        </w:rPr>
        <w:t>产品</w:t>
      </w:r>
      <w:r>
        <w:rPr>
          <w:rFonts w:hint="eastAsia" w:asciiTheme="minorEastAsia" w:hAnsiTheme="minorEastAsia" w:eastAsiaTheme="minorEastAsia"/>
          <w:b/>
          <w:bCs/>
          <w:sz w:val="24"/>
        </w:rPr>
        <w:t>单价不得高于货物需求一览表中最高</w:t>
      </w:r>
      <w:r>
        <w:rPr>
          <w:rFonts w:hint="eastAsia" w:asciiTheme="minorEastAsia" w:hAnsiTheme="minorEastAsia" w:eastAsiaTheme="minorEastAsia"/>
          <w:b/>
          <w:bCs/>
          <w:sz w:val="24"/>
          <w:lang w:val="en-US" w:eastAsia="zh-CN"/>
        </w:rPr>
        <w:t>限价</w:t>
      </w:r>
      <w:r>
        <w:rPr>
          <w:rFonts w:hint="eastAsia" w:asciiTheme="minorEastAsia" w:hAnsiTheme="minorEastAsia" w:eastAsiaTheme="minorEastAsia"/>
          <w:b/>
          <w:bCs/>
          <w:sz w:val="24"/>
        </w:rPr>
        <w:t>，否则可能导致响应无效，由此产生的一切责任均由供应商承担。</w:t>
      </w:r>
    </w:p>
    <w:p>
      <w:pPr>
        <w:spacing w:line="360" w:lineRule="auto"/>
        <w:rPr>
          <w:rFonts w:ascii="宋体" w:hAnsi="宋体"/>
          <w:sz w:val="24"/>
          <w:szCs w:val="28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24"/>
        </w:rPr>
        <w:t>、货物需求一览表中所列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数量</w:t>
      </w:r>
      <w:r>
        <w:rPr>
          <w:rFonts w:hint="eastAsia" w:asciiTheme="minorEastAsia" w:hAnsiTheme="minorEastAsia" w:eastAsiaTheme="minorEastAsia"/>
          <w:sz w:val="24"/>
        </w:rPr>
        <w:t>仅为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预估量</w:t>
      </w:r>
      <w:r>
        <w:rPr>
          <w:rFonts w:hint="eastAsia" w:asciiTheme="minorEastAsia" w:hAnsiTheme="minorEastAsia" w:eastAsiaTheme="minorEastAsia"/>
          <w:sz w:val="24"/>
        </w:rPr>
        <w:t>，仅供参考，最终结算时按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供货数</w:t>
      </w:r>
      <w:r>
        <w:rPr>
          <w:rFonts w:hint="eastAsia" w:asciiTheme="minorEastAsia" w:hAnsiTheme="minorEastAsia" w:eastAsiaTheme="minorEastAsia"/>
          <w:sz w:val="24"/>
        </w:rPr>
        <w:t>量据实结算，最终结算金额不超过本项目预算。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Plotter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@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88"/>
    <w:rsid w:val="00024A18"/>
    <w:rsid w:val="00033585"/>
    <w:rsid w:val="000340D4"/>
    <w:rsid w:val="00090AA7"/>
    <w:rsid w:val="00100056"/>
    <w:rsid w:val="00104D59"/>
    <w:rsid w:val="00125D4C"/>
    <w:rsid w:val="00126FAA"/>
    <w:rsid w:val="001C3FE7"/>
    <w:rsid w:val="002336EF"/>
    <w:rsid w:val="0024361A"/>
    <w:rsid w:val="00247A7F"/>
    <w:rsid w:val="002530E1"/>
    <w:rsid w:val="00282C83"/>
    <w:rsid w:val="002B379A"/>
    <w:rsid w:val="002C64BC"/>
    <w:rsid w:val="003249DB"/>
    <w:rsid w:val="00377822"/>
    <w:rsid w:val="003844BA"/>
    <w:rsid w:val="0038585B"/>
    <w:rsid w:val="0039193A"/>
    <w:rsid w:val="003A0F03"/>
    <w:rsid w:val="003A507C"/>
    <w:rsid w:val="003C1972"/>
    <w:rsid w:val="003D459D"/>
    <w:rsid w:val="00415A79"/>
    <w:rsid w:val="0042020B"/>
    <w:rsid w:val="00473C61"/>
    <w:rsid w:val="00477A5B"/>
    <w:rsid w:val="004978FF"/>
    <w:rsid w:val="004C20D9"/>
    <w:rsid w:val="004C4C7C"/>
    <w:rsid w:val="004F4BC8"/>
    <w:rsid w:val="00514FFE"/>
    <w:rsid w:val="00586D23"/>
    <w:rsid w:val="00593C35"/>
    <w:rsid w:val="005A3F57"/>
    <w:rsid w:val="005B5B70"/>
    <w:rsid w:val="005F171F"/>
    <w:rsid w:val="0062623C"/>
    <w:rsid w:val="00627C72"/>
    <w:rsid w:val="00660502"/>
    <w:rsid w:val="006607C1"/>
    <w:rsid w:val="006A2299"/>
    <w:rsid w:val="006B32D9"/>
    <w:rsid w:val="006E0B4B"/>
    <w:rsid w:val="006F1810"/>
    <w:rsid w:val="00725707"/>
    <w:rsid w:val="00731D7D"/>
    <w:rsid w:val="0075289E"/>
    <w:rsid w:val="00754DBA"/>
    <w:rsid w:val="00755892"/>
    <w:rsid w:val="00756FBB"/>
    <w:rsid w:val="007867B9"/>
    <w:rsid w:val="007B2CB5"/>
    <w:rsid w:val="007B3A11"/>
    <w:rsid w:val="007D317D"/>
    <w:rsid w:val="007D77A4"/>
    <w:rsid w:val="007E7CA0"/>
    <w:rsid w:val="007F4807"/>
    <w:rsid w:val="00841288"/>
    <w:rsid w:val="0084632C"/>
    <w:rsid w:val="00852397"/>
    <w:rsid w:val="008600CA"/>
    <w:rsid w:val="008716D0"/>
    <w:rsid w:val="00874925"/>
    <w:rsid w:val="00880604"/>
    <w:rsid w:val="008861C6"/>
    <w:rsid w:val="008D0EFC"/>
    <w:rsid w:val="008D1456"/>
    <w:rsid w:val="008E0D3D"/>
    <w:rsid w:val="008E29B9"/>
    <w:rsid w:val="00925284"/>
    <w:rsid w:val="009338A5"/>
    <w:rsid w:val="00944320"/>
    <w:rsid w:val="00951BA1"/>
    <w:rsid w:val="009F7016"/>
    <w:rsid w:val="00A065D4"/>
    <w:rsid w:val="00A371A5"/>
    <w:rsid w:val="00A42B5D"/>
    <w:rsid w:val="00A60E47"/>
    <w:rsid w:val="00A972BB"/>
    <w:rsid w:val="00AA3521"/>
    <w:rsid w:val="00AB108F"/>
    <w:rsid w:val="00AB610F"/>
    <w:rsid w:val="00AE2A63"/>
    <w:rsid w:val="00AE6DF4"/>
    <w:rsid w:val="00B65DA3"/>
    <w:rsid w:val="00B745B1"/>
    <w:rsid w:val="00B8677C"/>
    <w:rsid w:val="00BC4CE4"/>
    <w:rsid w:val="00BD33C4"/>
    <w:rsid w:val="00BE1474"/>
    <w:rsid w:val="00BE3892"/>
    <w:rsid w:val="00BE4B9A"/>
    <w:rsid w:val="00C041A4"/>
    <w:rsid w:val="00C749E4"/>
    <w:rsid w:val="00C75782"/>
    <w:rsid w:val="00CE3A10"/>
    <w:rsid w:val="00D00D5B"/>
    <w:rsid w:val="00D10331"/>
    <w:rsid w:val="00D1790A"/>
    <w:rsid w:val="00D60DF8"/>
    <w:rsid w:val="00D71ADC"/>
    <w:rsid w:val="00DA11E5"/>
    <w:rsid w:val="00DB11AB"/>
    <w:rsid w:val="00EA3019"/>
    <w:rsid w:val="00F04503"/>
    <w:rsid w:val="00F1682C"/>
    <w:rsid w:val="00FA5CDB"/>
    <w:rsid w:val="00FA6D88"/>
    <w:rsid w:val="00FD40B1"/>
    <w:rsid w:val="00FD6938"/>
    <w:rsid w:val="00FD74CD"/>
    <w:rsid w:val="00FE7DDB"/>
    <w:rsid w:val="00FF4E9E"/>
    <w:rsid w:val="5CE8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39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qFormat="1" w:unhideWhenUsed="0" w:uiPriority="0" w:semiHidden="0" w:name="toa heading"/>
    <w:lsdException w:qFormat="1" w:uiPriority="0" w:semiHidden="0" w:name="List"/>
    <w:lsdException w:uiPriority="99" w:name="List Bullet"/>
    <w:lsdException w:qFormat="1" w:uiPriority="0" w:semiHidden="0" w:name="List Number"/>
    <w:lsdException w:uiPriority="99" w:name="List 2"/>
    <w:lsdException w:uiPriority="99" w:name="List 3"/>
    <w:lsdException w:uiPriority="99" w:name="List 4"/>
    <w:lsdException w:uiPriority="99" w:name="List 5"/>
    <w:lsdException w:qFormat="1" w:uiPriority="0" w:semiHidden="0" w:name="List Bullet 2"/>
    <w:lsdException w:uiPriority="0" w:semiHidden="0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nhideWhenUsed="0" w:uiPriority="99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6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68"/>
    <w:qFormat/>
    <w:uiPriority w:val="0"/>
    <w:pPr>
      <w:keepNext/>
      <w:keepLines/>
      <w:spacing w:before="260" w:after="260" w:line="416" w:lineRule="auto"/>
      <w:ind w:firstLine="628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79"/>
    <w:qFormat/>
    <w:uiPriority w:val="0"/>
    <w:pPr>
      <w:keepNext/>
      <w:keepLines/>
      <w:spacing w:before="260" w:after="260" w:line="416" w:lineRule="auto"/>
      <w:jc w:val="center"/>
      <w:outlineLvl w:val="2"/>
    </w:pPr>
    <w:rPr>
      <w:rFonts w:ascii="宋体"/>
      <w:b/>
      <w:bCs/>
      <w:sz w:val="32"/>
      <w:szCs w:val="32"/>
    </w:rPr>
  </w:style>
  <w:style w:type="paragraph" w:styleId="5">
    <w:name w:val="heading 4"/>
    <w:basedOn w:val="1"/>
    <w:next w:val="1"/>
    <w:link w:val="80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78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81"/>
    <w:qFormat/>
    <w:uiPriority w:val="0"/>
    <w:pPr>
      <w:keepNext/>
      <w:autoSpaceDE w:val="0"/>
      <w:autoSpaceDN w:val="0"/>
      <w:adjustRightInd w:val="0"/>
      <w:spacing w:before="120" w:beforeLines="50" w:after="120" w:afterLines="50" w:line="300" w:lineRule="exact"/>
      <w:jc w:val="center"/>
      <w:outlineLvl w:val="5"/>
    </w:pPr>
    <w:rPr>
      <w:rFonts w:ascii="宋体" w:hAnsi="宋体"/>
      <w:kern w:val="0"/>
      <w:sz w:val="28"/>
    </w:rPr>
  </w:style>
  <w:style w:type="paragraph" w:styleId="8">
    <w:name w:val="heading 7"/>
    <w:basedOn w:val="1"/>
    <w:next w:val="1"/>
    <w:link w:val="82"/>
    <w:qFormat/>
    <w:uiPriority w:val="0"/>
    <w:pPr>
      <w:keepNext/>
      <w:keepLines/>
      <w:spacing w:before="240" w:after="64" w:line="320" w:lineRule="auto"/>
      <w:ind w:right="-24" w:rightChars="-10" w:firstLine="464" w:firstLineChars="225"/>
      <w:jc w:val="left"/>
      <w:outlineLvl w:val="6"/>
    </w:pPr>
    <w:rPr>
      <w:rFonts w:ascii="Arial" w:hAnsi="Arial" w:eastAsia="仿宋_GB2312" w:cs="Arial"/>
      <w:b/>
      <w:bCs/>
      <w:spacing w:val="-4"/>
      <w:sz w:val="24"/>
      <w:szCs w:val="24"/>
    </w:rPr>
  </w:style>
  <w:style w:type="paragraph" w:styleId="9">
    <w:name w:val="heading 8"/>
    <w:basedOn w:val="1"/>
    <w:next w:val="1"/>
    <w:link w:val="83"/>
    <w:qFormat/>
    <w:uiPriority w:val="0"/>
    <w:pPr>
      <w:keepNext/>
      <w:keepLines/>
      <w:tabs>
        <w:tab w:val="left" w:pos="0"/>
        <w:tab w:val="left" w:pos="3360"/>
      </w:tabs>
      <w:adjustRightInd w:val="0"/>
      <w:spacing w:line="360" w:lineRule="atLeast"/>
      <w:ind w:left="3360" w:hanging="420"/>
      <w:jc w:val="left"/>
      <w:outlineLvl w:val="7"/>
    </w:pPr>
    <w:rPr>
      <w:kern w:val="0"/>
      <w:sz w:val="24"/>
    </w:rPr>
  </w:style>
  <w:style w:type="paragraph" w:styleId="10">
    <w:name w:val="heading 9"/>
    <w:basedOn w:val="1"/>
    <w:next w:val="1"/>
    <w:link w:val="84"/>
    <w:qFormat/>
    <w:uiPriority w:val="0"/>
    <w:pPr>
      <w:keepNext/>
      <w:keepLines/>
      <w:tabs>
        <w:tab w:val="left" w:pos="0"/>
        <w:tab w:val="left" w:pos="3780"/>
      </w:tabs>
      <w:adjustRightInd w:val="0"/>
      <w:spacing w:line="360" w:lineRule="atLeast"/>
      <w:ind w:left="3780" w:hanging="420"/>
      <w:jc w:val="left"/>
      <w:outlineLvl w:val="8"/>
    </w:pPr>
    <w:rPr>
      <w:kern w:val="0"/>
      <w:sz w:val="24"/>
    </w:rPr>
  </w:style>
  <w:style w:type="character" w:default="1" w:styleId="60">
    <w:name w:val="Default Paragraph Font"/>
    <w:semiHidden/>
    <w:unhideWhenUsed/>
    <w:uiPriority w:val="1"/>
  </w:style>
  <w:style w:type="table" w:default="1" w:styleId="5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0"/>
    <w:pPr>
      <w:ind w:left="1260"/>
      <w:jc w:val="left"/>
    </w:pPr>
    <w:rPr>
      <w:szCs w:val="21"/>
    </w:rPr>
  </w:style>
  <w:style w:type="paragraph" w:styleId="12">
    <w:name w:val="table of authorities"/>
    <w:basedOn w:val="1"/>
    <w:next w:val="1"/>
    <w:qFormat/>
    <w:uiPriority w:val="0"/>
    <w:pPr>
      <w:ind w:left="420" w:leftChars="200"/>
    </w:pPr>
  </w:style>
  <w:style w:type="paragraph" w:styleId="13">
    <w:name w:val="index 8"/>
    <w:basedOn w:val="1"/>
    <w:next w:val="1"/>
    <w:uiPriority w:val="0"/>
    <w:pPr>
      <w:ind w:left="1400" w:leftChars="1400"/>
    </w:pPr>
  </w:style>
  <w:style w:type="paragraph" w:styleId="14">
    <w:name w:val="List Number"/>
    <w:basedOn w:val="1"/>
    <w:unhideWhenUsed/>
    <w:qFormat/>
    <w:uiPriority w:val="0"/>
    <w:rPr>
      <w:rFonts w:ascii="黑体" w:hAnsi="Arial" w:eastAsia="黑体"/>
      <w:szCs w:val="24"/>
    </w:rPr>
  </w:style>
  <w:style w:type="paragraph" w:styleId="15">
    <w:name w:val="Normal Indent"/>
    <w:basedOn w:val="1"/>
    <w:link w:val="118"/>
    <w:qFormat/>
    <w:uiPriority w:val="0"/>
    <w:pPr>
      <w:spacing w:after="156"/>
      <w:ind w:firstLine="420"/>
    </w:pPr>
    <w:rPr>
      <w:rFonts w:ascii="Calibri" w:hAnsi="Calibri" w:cs="Plotter"/>
      <w:sz w:val="24"/>
      <w:szCs w:val="24"/>
    </w:rPr>
  </w:style>
  <w:style w:type="paragraph" w:styleId="16">
    <w:name w:val="caption"/>
    <w:basedOn w:val="1"/>
    <w:next w:val="1"/>
    <w:qFormat/>
    <w:uiPriority w:val="0"/>
    <w:rPr>
      <w:rFonts w:ascii="Calibri Light" w:hAnsi="Calibri Light" w:eastAsia="黑体"/>
      <w:sz w:val="20"/>
    </w:rPr>
  </w:style>
  <w:style w:type="paragraph" w:styleId="17">
    <w:name w:val="index 5"/>
    <w:basedOn w:val="1"/>
    <w:next w:val="1"/>
    <w:qFormat/>
    <w:uiPriority w:val="0"/>
    <w:pPr>
      <w:ind w:left="800" w:leftChars="800"/>
    </w:pPr>
  </w:style>
  <w:style w:type="paragraph" w:styleId="18">
    <w:name w:val="Document Map"/>
    <w:basedOn w:val="1"/>
    <w:link w:val="92"/>
    <w:uiPriority w:val="0"/>
    <w:pPr>
      <w:shd w:val="clear" w:color="auto" w:fill="000080"/>
    </w:pPr>
  </w:style>
  <w:style w:type="paragraph" w:styleId="19">
    <w:name w:val="toa heading"/>
    <w:basedOn w:val="1"/>
    <w:next w:val="1"/>
    <w:qFormat/>
    <w:uiPriority w:val="0"/>
    <w:pPr>
      <w:spacing w:before="120"/>
    </w:pPr>
    <w:rPr>
      <w:rFonts w:ascii="Arial" w:hAnsi="Arial"/>
      <w:b/>
      <w:bCs/>
      <w:szCs w:val="24"/>
    </w:rPr>
  </w:style>
  <w:style w:type="paragraph" w:styleId="20">
    <w:name w:val="annotation text"/>
    <w:basedOn w:val="1"/>
    <w:link w:val="114"/>
    <w:qFormat/>
    <w:uiPriority w:val="0"/>
    <w:pPr>
      <w:jc w:val="left"/>
    </w:pPr>
  </w:style>
  <w:style w:type="paragraph" w:styleId="21">
    <w:name w:val="index 6"/>
    <w:basedOn w:val="1"/>
    <w:next w:val="1"/>
    <w:qFormat/>
    <w:uiPriority w:val="0"/>
    <w:pPr>
      <w:ind w:left="1000" w:leftChars="1000"/>
    </w:pPr>
  </w:style>
  <w:style w:type="paragraph" w:styleId="22">
    <w:name w:val="Body Text 3"/>
    <w:basedOn w:val="1"/>
    <w:link w:val="93"/>
    <w:uiPriority w:val="99"/>
    <w:rPr>
      <w:rFonts w:ascii="黑体" w:hAnsi="Arial" w:eastAsia="黑体"/>
      <w:b/>
      <w:sz w:val="28"/>
    </w:rPr>
  </w:style>
  <w:style w:type="paragraph" w:styleId="23">
    <w:name w:val="List Bullet 3"/>
    <w:basedOn w:val="1"/>
    <w:unhideWhenUsed/>
    <w:uiPriority w:val="0"/>
    <w:pPr>
      <w:adjustRightInd w:val="0"/>
      <w:spacing w:line="360" w:lineRule="atLeast"/>
      <w:contextualSpacing/>
      <w:jc w:val="left"/>
    </w:pPr>
    <w:rPr>
      <w:kern w:val="0"/>
      <w:sz w:val="24"/>
    </w:rPr>
  </w:style>
  <w:style w:type="paragraph" w:styleId="24">
    <w:name w:val="Body Text"/>
    <w:basedOn w:val="1"/>
    <w:link w:val="90"/>
    <w:qFormat/>
    <w:uiPriority w:val="99"/>
    <w:rPr>
      <w:rFonts w:ascii="宋体" w:hAnsi="Arial"/>
      <w:sz w:val="28"/>
    </w:rPr>
  </w:style>
  <w:style w:type="paragraph" w:styleId="25">
    <w:name w:val="Body Text Indent"/>
    <w:basedOn w:val="1"/>
    <w:link w:val="72"/>
    <w:qFormat/>
    <w:uiPriority w:val="0"/>
    <w:pPr>
      <w:ind w:firstLine="645"/>
    </w:pPr>
    <w:rPr>
      <w:rFonts w:ascii="楷体_GB2312" w:eastAsia="楷体_GB2312" w:hAnsiTheme="minorHAnsi" w:cstheme="minorBidi"/>
      <w:sz w:val="32"/>
      <w:szCs w:val="22"/>
    </w:rPr>
  </w:style>
  <w:style w:type="paragraph" w:styleId="26">
    <w:name w:val="Block Text"/>
    <w:basedOn w:val="1"/>
    <w:qFormat/>
    <w:uiPriority w:val="0"/>
    <w:pPr>
      <w:spacing w:after="156"/>
    </w:pPr>
    <w:rPr>
      <w:rFonts w:ascii="宋体" w:hAnsi="Calibri"/>
      <w:szCs w:val="22"/>
    </w:rPr>
  </w:style>
  <w:style w:type="paragraph" w:styleId="27">
    <w:name w:val="List Bullet 2"/>
    <w:basedOn w:val="1"/>
    <w:unhideWhenUsed/>
    <w:qFormat/>
    <w:uiPriority w:val="0"/>
    <w:pPr>
      <w:adjustRightInd w:val="0"/>
      <w:spacing w:line="360" w:lineRule="atLeast"/>
      <w:jc w:val="left"/>
    </w:pPr>
    <w:rPr>
      <w:kern w:val="0"/>
      <w:sz w:val="24"/>
    </w:rPr>
  </w:style>
  <w:style w:type="paragraph" w:styleId="28">
    <w:name w:val="index 4"/>
    <w:basedOn w:val="1"/>
    <w:next w:val="1"/>
    <w:qFormat/>
    <w:uiPriority w:val="0"/>
    <w:pPr>
      <w:ind w:left="600" w:leftChars="600"/>
    </w:pPr>
  </w:style>
  <w:style w:type="paragraph" w:styleId="29">
    <w:name w:val="toc 5"/>
    <w:basedOn w:val="1"/>
    <w:next w:val="1"/>
    <w:qFormat/>
    <w:uiPriority w:val="39"/>
    <w:pPr>
      <w:ind w:left="840"/>
      <w:jc w:val="left"/>
    </w:pPr>
    <w:rPr>
      <w:szCs w:val="21"/>
    </w:rPr>
  </w:style>
  <w:style w:type="paragraph" w:styleId="30">
    <w:name w:val="toc 3"/>
    <w:basedOn w:val="1"/>
    <w:next w:val="1"/>
    <w:qFormat/>
    <w:uiPriority w:val="39"/>
    <w:pPr>
      <w:tabs>
        <w:tab w:val="right" w:leader="dot" w:pos="9403"/>
      </w:tabs>
      <w:spacing w:line="300" w:lineRule="auto"/>
      <w:ind w:left="420"/>
      <w:jc w:val="left"/>
    </w:pPr>
    <w:rPr>
      <w:rFonts w:ascii="宋体" w:hAnsi="宋体"/>
      <w:iCs/>
      <w:sz w:val="18"/>
      <w:szCs w:val="24"/>
    </w:rPr>
  </w:style>
  <w:style w:type="paragraph" w:styleId="31">
    <w:name w:val="Plain Text"/>
    <w:basedOn w:val="1"/>
    <w:link w:val="87"/>
    <w:qFormat/>
    <w:uiPriority w:val="0"/>
    <w:rPr>
      <w:rFonts w:ascii="宋体" w:hAnsi="Courier New"/>
    </w:rPr>
  </w:style>
  <w:style w:type="paragraph" w:styleId="32">
    <w:name w:val="toc 8"/>
    <w:basedOn w:val="1"/>
    <w:next w:val="1"/>
    <w:qFormat/>
    <w:uiPriority w:val="0"/>
    <w:pPr>
      <w:ind w:left="1470"/>
      <w:jc w:val="left"/>
    </w:pPr>
    <w:rPr>
      <w:szCs w:val="21"/>
    </w:rPr>
  </w:style>
  <w:style w:type="paragraph" w:styleId="33">
    <w:name w:val="index 3"/>
    <w:basedOn w:val="1"/>
    <w:next w:val="1"/>
    <w:qFormat/>
    <w:uiPriority w:val="0"/>
    <w:pPr>
      <w:ind w:left="400" w:leftChars="400"/>
    </w:pPr>
  </w:style>
  <w:style w:type="paragraph" w:styleId="34">
    <w:name w:val="Date"/>
    <w:basedOn w:val="1"/>
    <w:next w:val="1"/>
    <w:link w:val="89"/>
    <w:qFormat/>
    <w:uiPriority w:val="0"/>
    <w:rPr>
      <w:b/>
      <w:sz w:val="28"/>
    </w:rPr>
  </w:style>
  <w:style w:type="paragraph" w:styleId="35">
    <w:name w:val="Body Text Indent 2"/>
    <w:basedOn w:val="1"/>
    <w:link w:val="85"/>
    <w:qFormat/>
    <w:uiPriority w:val="0"/>
    <w:pPr>
      <w:ind w:left="630" w:firstLine="645"/>
    </w:pPr>
    <w:rPr>
      <w:rFonts w:ascii="Arial" w:hAnsi="Arial" w:eastAsia="仿宋_GB2312"/>
      <w:sz w:val="32"/>
    </w:rPr>
  </w:style>
  <w:style w:type="paragraph" w:styleId="36">
    <w:name w:val="Balloon Text"/>
    <w:basedOn w:val="1"/>
    <w:link w:val="75"/>
    <w:unhideWhenUsed/>
    <w:qFormat/>
    <w:uiPriority w:val="0"/>
    <w:rPr>
      <w:sz w:val="18"/>
      <w:szCs w:val="18"/>
    </w:rPr>
  </w:style>
  <w:style w:type="paragraph" w:styleId="37">
    <w:name w:val="footer"/>
    <w:basedOn w:val="1"/>
    <w:link w:val="7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8">
    <w:name w:val="header"/>
    <w:basedOn w:val="1"/>
    <w:link w:val="6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39">
    <w:name w:val="toc 1"/>
    <w:basedOn w:val="1"/>
    <w:next w:val="1"/>
    <w:qFormat/>
    <w:uiPriority w:val="39"/>
    <w:pPr>
      <w:spacing w:before="120" w:after="120"/>
      <w:jc w:val="left"/>
    </w:pPr>
    <w:rPr>
      <w:caps/>
      <w:sz w:val="18"/>
      <w:szCs w:val="24"/>
    </w:rPr>
  </w:style>
  <w:style w:type="paragraph" w:styleId="40">
    <w:name w:val="toc 4"/>
    <w:basedOn w:val="1"/>
    <w:next w:val="1"/>
    <w:qFormat/>
    <w:uiPriority w:val="0"/>
    <w:pPr>
      <w:ind w:left="630"/>
      <w:jc w:val="left"/>
    </w:pPr>
    <w:rPr>
      <w:szCs w:val="21"/>
    </w:rPr>
  </w:style>
  <w:style w:type="paragraph" w:styleId="41">
    <w:name w:val="index heading"/>
    <w:basedOn w:val="1"/>
    <w:next w:val="42"/>
    <w:uiPriority w:val="0"/>
  </w:style>
  <w:style w:type="paragraph" w:styleId="42">
    <w:name w:val="index 1"/>
    <w:basedOn w:val="1"/>
    <w:next w:val="1"/>
    <w:qFormat/>
    <w:uiPriority w:val="0"/>
    <w:pPr>
      <w:jc w:val="center"/>
    </w:pPr>
    <w:rPr>
      <w:rFonts w:ascii="仿宋_GB2312" w:eastAsia="仿宋_GB2312"/>
      <w:b/>
      <w:bCs/>
      <w:sz w:val="28"/>
    </w:rPr>
  </w:style>
  <w:style w:type="paragraph" w:styleId="43">
    <w:name w:val="Subtitle"/>
    <w:basedOn w:val="1"/>
    <w:link w:val="123"/>
    <w:qFormat/>
    <w:uiPriority w:val="0"/>
    <w:pPr>
      <w:adjustRightInd w:val="0"/>
      <w:spacing w:before="240" w:after="60" w:line="312" w:lineRule="atLeast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44">
    <w:name w:val="List"/>
    <w:basedOn w:val="1"/>
    <w:unhideWhenUsed/>
    <w:qFormat/>
    <w:uiPriority w:val="0"/>
    <w:pPr>
      <w:ind w:left="420" w:hanging="420"/>
    </w:pPr>
  </w:style>
  <w:style w:type="paragraph" w:styleId="45">
    <w:name w:val="toc 6"/>
    <w:basedOn w:val="1"/>
    <w:next w:val="1"/>
    <w:qFormat/>
    <w:uiPriority w:val="0"/>
    <w:pPr>
      <w:ind w:left="1050"/>
      <w:jc w:val="left"/>
    </w:pPr>
    <w:rPr>
      <w:szCs w:val="21"/>
    </w:rPr>
  </w:style>
  <w:style w:type="paragraph" w:styleId="46">
    <w:name w:val="Body Text Indent 3"/>
    <w:basedOn w:val="1"/>
    <w:link w:val="88"/>
    <w:qFormat/>
    <w:uiPriority w:val="0"/>
    <w:pPr>
      <w:ind w:firstLine="645"/>
    </w:pPr>
    <w:rPr>
      <w:rFonts w:ascii="仿宋_GB2312" w:hAnsi="Arial" w:eastAsia="仿宋_GB2312"/>
      <w:color w:val="000000"/>
      <w:sz w:val="30"/>
    </w:rPr>
  </w:style>
  <w:style w:type="paragraph" w:styleId="47">
    <w:name w:val="index 7"/>
    <w:basedOn w:val="1"/>
    <w:next w:val="1"/>
    <w:qFormat/>
    <w:uiPriority w:val="0"/>
    <w:pPr>
      <w:ind w:left="1200" w:leftChars="1200"/>
    </w:pPr>
  </w:style>
  <w:style w:type="paragraph" w:styleId="48">
    <w:name w:val="index 9"/>
    <w:basedOn w:val="1"/>
    <w:next w:val="1"/>
    <w:uiPriority w:val="0"/>
    <w:pPr>
      <w:ind w:left="1600" w:leftChars="1600"/>
    </w:pPr>
  </w:style>
  <w:style w:type="paragraph" w:styleId="49">
    <w:name w:val="toc 2"/>
    <w:basedOn w:val="1"/>
    <w:next w:val="1"/>
    <w:qFormat/>
    <w:uiPriority w:val="39"/>
    <w:pPr>
      <w:ind w:left="210"/>
      <w:jc w:val="left"/>
    </w:pPr>
    <w:rPr>
      <w:smallCaps/>
      <w:sz w:val="18"/>
      <w:szCs w:val="24"/>
    </w:rPr>
  </w:style>
  <w:style w:type="paragraph" w:styleId="50">
    <w:name w:val="toc 9"/>
    <w:basedOn w:val="1"/>
    <w:next w:val="1"/>
    <w:qFormat/>
    <w:uiPriority w:val="0"/>
    <w:pPr>
      <w:ind w:left="1680"/>
      <w:jc w:val="left"/>
    </w:pPr>
    <w:rPr>
      <w:szCs w:val="21"/>
    </w:rPr>
  </w:style>
  <w:style w:type="paragraph" w:styleId="51">
    <w:name w:val="Body Text 2"/>
    <w:basedOn w:val="1"/>
    <w:link w:val="91"/>
    <w:qFormat/>
    <w:uiPriority w:val="0"/>
    <w:rPr>
      <w:rFonts w:ascii="仿宋_GB2312" w:eastAsia="仿宋_GB2312"/>
      <w:b/>
      <w:sz w:val="24"/>
    </w:rPr>
  </w:style>
  <w:style w:type="paragraph" w:styleId="52">
    <w:name w:val="HTML Preformatted"/>
    <w:basedOn w:val="1"/>
    <w:link w:val="205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5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54">
    <w:name w:val="index 2"/>
    <w:basedOn w:val="1"/>
    <w:next w:val="1"/>
    <w:qFormat/>
    <w:uiPriority w:val="0"/>
    <w:pPr>
      <w:ind w:left="200" w:leftChars="200"/>
    </w:pPr>
  </w:style>
  <w:style w:type="paragraph" w:styleId="55">
    <w:name w:val="Title"/>
    <w:basedOn w:val="1"/>
    <w:next w:val="1"/>
    <w:link w:val="74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56">
    <w:name w:val="annotation subject"/>
    <w:basedOn w:val="20"/>
    <w:next w:val="20"/>
    <w:link w:val="125"/>
    <w:unhideWhenUsed/>
    <w:qFormat/>
    <w:uiPriority w:val="0"/>
    <w:pPr>
      <w:adjustRightInd w:val="0"/>
      <w:spacing w:line="360" w:lineRule="atLeast"/>
    </w:pPr>
    <w:rPr>
      <w:b/>
      <w:bCs/>
      <w:kern w:val="0"/>
      <w:sz w:val="24"/>
    </w:rPr>
  </w:style>
  <w:style w:type="paragraph" w:styleId="57">
    <w:name w:val="Body Text First Indent"/>
    <w:basedOn w:val="1"/>
    <w:link w:val="104"/>
    <w:qFormat/>
    <w:uiPriority w:val="0"/>
    <w:pPr>
      <w:autoSpaceDE w:val="0"/>
      <w:autoSpaceDN w:val="0"/>
      <w:adjustRightInd w:val="0"/>
      <w:spacing w:line="360" w:lineRule="auto"/>
      <w:ind w:right="-24" w:rightChars="-10" w:firstLine="425" w:firstLineChars="225"/>
    </w:pPr>
    <w:rPr>
      <w:rFonts w:ascii="Arial" w:hAnsi="Arial" w:eastAsia="仿宋_GB2312" w:cs="Arial"/>
      <w:kern w:val="0"/>
      <w:sz w:val="24"/>
      <w:szCs w:val="32"/>
    </w:rPr>
  </w:style>
  <w:style w:type="table" w:styleId="59">
    <w:name w:val="Table Grid"/>
    <w:basedOn w:val="5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1">
    <w:name w:val="Strong"/>
    <w:qFormat/>
    <w:uiPriority w:val="0"/>
    <w:rPr>
      <w:b/>
      <w:bCs/>
    </w:rPr>
  </w:style>
  <w:style w:type="character" w:styleId="62">
    <w:name w:val="page number"/>
    <w:basedOn w:val="60"/>
    <w:qFormat/>
    <w:uiPriority w:val="0"/>
  </w:style>
  <w:style w:type="character" w:styleId="63">
    <w:name w:val="FollowedHyperlink"/>
    <w:uiPriority w:val="99"/>
    <w:rPr>
      <w:color w:val="800080"/>
      <w:u w:val="single"/>
    </w:rPr>
  </w:style>
  <w:style w:type="character" w:styleId="64">
    <w:name w:val="Emphasis"/>
    <w:qFormat/>
    <w:uiPriority w:val="0"/>
    <w:rPr>
      <w:color w:val="CC0033"/>
    </w:rPr>
  </w:style>
  <w:style w:type="character" w:styleId="65">
    <w:name w:val="Hyperlink"/>
    <w:qFormat/>
    <w:uiPriority w:val="99"/>
    <w:rPr>
      <w:color w:val="0000FF"/>
      <w:u w:val="single"/>
    </w:rPr>
  </w:style>
  <w:style w:type="character" w:styleId="66">
    <w:name w:val="annotation reference"/>
    <w:semiHidden/>
    <w:qFormat/>
    <w:uiPriority w:val="0"/>
    <w:rPr>
      <w:sz w:val="21"/>
      <w:szCs w:val="21"/>
    </w:rPr>
  </w:style>
  <w:style w:type="character" w:customStyle="1" w:styleId="67">
    <w:name w:val="标题 1 Char"/>
    <w:basedOn w:val="60"/>
    <w:link w:val="2"/>
    <w:qFormat/>
    <w:uiPriority w:val="0"/>
    <w:rPr>
      <w:rFonts w:ascii="Times New Roman" w:hAnsi="Times New Roman" w:eastAsia="宋体" w:cs="Times New Roman"/>
      <w:b/>
      <w:bCs/>
      <w:kern w:val="44"/>
      <w:sz w:val="30"/>
      <w:szCs w:val="44"/>
    </w:rPr>
  </w:style>
  <w:style w:type="character" w:customStyle="1" w:styleId="68">
    <w:name w:val="标题 2 Char"/>
    <w:basedOn w:val="60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69">
    <w:name w:val="页眉 Char"/>
    <w:basedOn w:val="60"/>
    <w:link w:val="38"/>
    <w:qFormat/>
    <w:uiPriority w:val="0"/>
    <w:rPr>
      <w:sz w:val="18"/>
      <w:szCs w:val="18"/>
    </w:rPr>
  </w:style>
  <w:style w:type="character" w:customStyle="1" w:styleId="70">
    <w:name w:val="页脚 Char"/>
    <w:basedOn w:val="60"/>
    <w:link w:val="37"/>
    <w:uiPriority w:val="99"/>
    <w:rPr>
      <w:sz w:val="18"/>
      <w:szCs w:val="18"/>
    </w:rPr>
  </w:style>
  <w:style w:type="paragraph" w:customStyle="1" w:styleId="71">
    <w:name w:val="Char Char Char Char Char Char Char1 Char"/>
    <w:basedOn w:val="1"/>
    <w:uiPriority w:val="0"/>
    <w:rPr>
      <w:rFonts w:ascii="Tahoma" w:hAnsi="Tahoma" w:eastAsia="仿宋_GB2312"/>
      <w:sz w:val="24"/>
      <w:szCs w:val="32"/>
    </w:rPr>
  </w:style>
  <w:style w:type="character" w:customStyle="1" w:styleId="72">
    <w:name w:val="正文文本缩进 Char"/>
    <w:link w:val="25"/>
    <w:uiPriority w:val="0"/>
    <w:rPr>
      <w:rFonts w:ascii="楷体_GB2312" w:eastAsia="楷体_GB2312"/>
      <w:sz w:val="32"/>
    </w:rPr>
  </w:style>
  <w:style w:type="character" w:customStyle="1" w:styleId="73">
    <w:name w:val="正文文本缩进 Char1"/>
    <w:basedOn w:val="60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74">
    <w:name w:val="标题 Char"/>
    <w:basedOn w:val="60"/>
    <w:link w:val="55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75">
    <w:name w:val="批注框文本 Char"/>
    <w:basedOn w:val="60"/>
    <w:link w:val="3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6">
    <w:name w:val="apple-converted-space"/>
    <w:qFormat/>
    <w:uiPriority w:val="0"/>
  </w:style>
  <w:style w:type="paragraph" w:customStyle="1" w:styleId="77">
    <w:name w:val="列出段落1"/>
    <w:basedOn w:val="1"/>
    <w:link w:val="202"/>
    <w:unhideWhenUsed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78">
    <w:name w:val="标题 5 Char"/>
    <w:basedOn w:val="60"/>
    <w:link w:val="6"/>
    <w:qFormat/>
    <w:uiPriority w:val="0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79">
    <w:name w:val="标题 3 Char"/>
    <w:basedOn w:val="60"/>
    <w:link w:val="4"/>
    <w:qFormat/>
    <w:uiPriority w:val="0"/>
    <w:rPr>
      <w:rFonts w:ascii="宋体" w:hAnsi="Times New Roman" w:eastAsia="宋体" w:cs="Times New Roman"/>
      <w:b/>
      <w:bCs/>
      <w:sz w:val="32"/>
      <w:szCs w:val="32"/>
    </w:rPr>
  </w:style>
  <w:style w:type="character" w:customStyle="1" w:styleId="80">
    <w:name w:val="标题 4 Char"/>
    <w:basedOn w:val="60"/>
    <w:link w:val="5"/>
    <w:qFormat/>
    <w:uiPriority w:val="0"/>
    <w:rPr>
      <w:rFonts w:ascii="Arial" w:hAnsi="Arial" w:eastAsia="黑体" w:cs="Times New Roman"/>
      <w:b/>
      <w:bCs/>
      <w:sz w:val="28"/>
      <w:szCs w:val="28"/>
    </w:rPr>
  </w:style>
  <w:style w:type="character" w:customStyle="1" w:styleId="81">
    <w:name w:val="标题 6 Char"/>
    <w:basedOn w:val="60"/>
    <w:link w:val="7"/>
    <w:qFormat/>
    <w:uiPriority w:val="0"/>
    <w:rPr>
      <w:rFonts w:ascii="宋体" w:hAnsi="宋体" w:eastAsia="宋体" w:cs="Times New Roman"/>
      <w:kern w:val="0"/>
      <w:sz w:val="28"/>
      <w:szCs w:val="20"/>
    </w:rPr>
  </w:style>
  <w:style w:type="character" w:customStyle="1" w:styleId="82">
    <w:name w:val="标题 7 Char"/>
    <w:basedOn w:val="60"/>
    <w:link w:val="8"/>
    <w:qFormat/>
    <w:uiPriority w:val="0"/>
    <w:rPr>
      <w:rFonts w:ascii="Arial" w:hAnsi="Arial" w:eastAsia="仿宋_GB2312" w:cs="Arial"/>
      <w:b/>
      <w:bCs/>
      <w:spacing w:val="-4"/>
      <w:sz w:val="24"/>
      <w:szCs w:val="24"/>
    </w:rPr>
  </w:style>
  <w:style w:type="character" w:customStyle="1" w:styleId="83">
    <w:name w:val="标题 8 Char"/>
    <w:basedOn w:val="60"/>
    <w:link w:val="9"/>
    <w:qFormat/>
    <w:uiPriority w:val="0"/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84">
    <w:name w:val="标题 9 Char"/>
    <w:basedOn w:val="60"/>
    <w:link w:val="10"/>
    <w:qFormat/>
    <w:uiPriority w:val="0"/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85">
    <w:name w:val="正文文本缩进 2 Char"/>
    <w:basedOn w:val="60"/>
    <w:link w:val="35"/>
    <w:qFormat/>
    <w:uiPriority w:val="0"/>
    <w:rPr>
      <w:rFonts w:ascii="Arial" w:hAnsi="Arial" w:eastAsia="仿宋_GB2312" w:cs="Times New Roman"/>
      <w:sz w:val="32"/>
      <w:szCs w:val="20"/>
    </w:rPr>
  </w:style>
  <w:style w:type="character" w:customStyle="1" w:styleId="86">
    <w:name w:val="纯文本 Char"/>
    <w:basedOn w:val="60"/>
    <w:qFormat/>
    <w:uiPriority w:val="0"/>
    <w:rPr>
      <w:rFonts w:ascii="宋体" w:hAnsi="Courier New" w:eastAsia="宋体" w:cs="Courier New"/>
      <w:szCs w:val="21"/>
    </w:rPr>
  </w:style>
  <w:style w:type="character" w:customStyle="1" w:styleId="87">
    <w:name w:val="纯文本 Char1"/>
    <w:link w:val="31"/>
    <w:qFormat/>
    <w:locked/>
    <w:uiPriority w:val="0"/>
    <w:rPr>
      <w:rFonts w:ascii="宋体" w:hAnsi="Courier New" w:eastAsia="宋体" w:cs="Times New Roman"/>
      <w:szCs w:val="20"/>
    </w:rPr>
  </w:style>
  <w:style w:type="character" w:customStyle="1" w:styleId="88">
    <w:name w:val="正文文本缩进 3 Char"/>
    <w:basedOn w:val="60"/>
    <w:link w:val="46"/>
    <w:qFormat/>
    <w:uiPriority w:val="0"/>
    <w:rPr>
      <w:rFonts w:ascii="仿宋_GB2312" w:hAnsi="Arial" w:eastAsia="仿宋_GB2312" w:cs="Times New Roman"/>
      <w:color w:val="000000"/>
      <w:sz w:val="30"/>
      <w:szCs w:val="20"/>
    </w:rPr>
  </w:style>
  <w:style w:type="character" w:customStyle="1" w:styleId="89">
    <w:name w:val="日期 Char"/>
    <w:basedOn w:val="60"/>
    <w:link w:val="34"/>
    <w:qFormat/>
    <w:uiPriority w:val="0"/>
    <w:rPr>
      <w:rFonts w:ascii="Times New Roman" w:hAnsi="Times New Roman" w:eastAsia="宋体" w:cs="Times New Roman"/>
      <w:b/>
      <w:sz w:val="28"/>
      <w:szCs w:val="20"/>
    </w:rPr>
  </w:style>
  <w:style w:type="character" w:customStyle="1" w:styleId="90">
    <w:name w:val="正文文本 Char"/>
    <w:basedOn w:val="60"/>
    <w:link w:val="24"/>
    <w:qFormat/>
    <w:uiPriority w:val="0"/>
    <w:rPr>
      <w:rFonts w:ascii="宋体" w:hAnsi="Arial" w:eastAsia="宋体" w:cs="Times New Roman"/>
      <w:sz w:val="28"/>
      <w:szCs w:val="20"/>
    </w:rPr>
  </w:style>
  <w:style w:type="character" w:customStyle="1" w:styleId="91">
    <w:name w:val="正文文本 2 Char"/>
    <w:basedOn w:val="60"/>
    <w:link w:val="51"/>
    <w:qFormat/>
    <w:uiPriority w:val="0"/>
    <w:rPr>
      <w:rFonts w:ascii="仿宋_GB2312" w:hAnsi="Times New Roman" w:eastAsia="仿宋_GB2312" w:cs="Times New Roman"/>
      <w:b/>
      <w:sz w:val="24"/>
      <w:szCs w:val="20"/>
    </w:rPr>
  </w:style>
  <w:style w:type="character" w:customStyle="1" w:styleId="92">
    <w:name w:val="文档结构图 Char"/>
    <w:basedOn w:val="60"/>
    <w:link w:val="18"/>
    <w:qFormat/>
    <w:uiPriority w:val="0"/>
    <w:rPr>
      <w:rFonts w:ascii="Times New Roman" w:hAnsi="Times New Roman" w:eastAsia="宋体" w:cs="Times New Roman"/>
      <w:szCs w:val="20"/>
      <w:shd w:val="clear" w:color="auto" w:fill="000080"/>
    </w:rPr>
  </w:style>
  <w:style w:type="character" w:customStyle="1" w:styleId="93">
    <w:name w:val="正文文本 3 Char"/>
    <w:basedOn w:val="60"/>
    <w:link w:val="22"/>
    <w:qFormat/>
    <w:uiPriority w:val="0"/>
    <w:rPr>
      <w:rFonts w:ascii="黑体" w:hAnsi="Arial" w:eastAsia="黑体" w:cs="Times New Roman"/>
      <w:b/>
      <w:sz w:val="28"/>
      <w:szCs w:val="20"/>
    </w:rPr>
  </w:style>
  <w:style w:type="paragraph" w:customStyle="1" w:styleId="9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9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96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幼圆" w:hAnsi="宋体" w:eastAsia="幼圆"/>
      <w:kern w:val="0"/>
      <w:sz w:val="32"/>
      <w:szCs w:val="32"/>
    </w:rPr>
  </w:style>
  <w:style w:type="paragraph" w:customStyle="1" w:styleId="97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color w:val="000000"/>
      <w:kern w:val="0"/>
      <w:sz w:val="32"/>
      <w:szCs w:val="32"/>
    </w:rPr>
  </w:style>
  <w:style w:type="paragraph" w:customStyle="1" w:styleId="98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幼圆" w:hAnsi="宋体" w:eastAsia="幼圆"/>
      <w:kern w:val="0"/>
      <w:sz w:val="32"/>
      <w:szCs w:val="32"/>
    </w:rPr>
  </w:style>
  <w:style w:type="paragraph" w:customStyle="1" w:styleId="99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32"/>
      <w:szCs w:val="32"/>
    </w:rPr>
  </w:style>
  <w:style w:type="paragraph" w:customStyle="1" w:styleId="100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幼圆" w:hAnsi="宋体" w:eastAsia="幼圆"/>
      <w:kern w:val="0"/>
      <w:sz w:val="32"/>
      <w:szCs w:val="32"/>
    </w:rPr>
  </w:style>
  <w:style w:type="paragraph" w:customStyle="1" w:styleId="101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32"/>
      <w:szCs w:val="32"/>
    </w:rPr>
  </w:style>
  <w:style w:type="paragraph" w:customStyle="1" w:styleId="102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hint="eastAsia" w:ascii="幼圆" w:hAnsi="宋体" w:eastAsia="幼圆"/>
      <w:kern w:val="0"/>
      <w:sz w:val="32"/>
      <w:szCs w:val="32"/>
    </w:rPr>
  </w:style>
  <w:style w:type="paragraph" w:customStyle="1" w:styleId="103">
    <w:name w:val="xl3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/>
      <w:b/>
      <w:bCs/>
      <w:kern w:val="0"/>
      <w:sz w:val="28"/>
      <w:szCs w:val="28"/>
    </w:rPr>
  </w:style>
  <w:style w:type="character" w:customStyle="1" w:styleId="104">
    <w:name w:val="正文首行缩进 Char"/>
    <w:basedOn w:val="90"/>
    <w:link w:val="57"/>
    <w:qFormat/>
    <w:uiPriority w:val="0"/>
    <w:rPr>
      <w:rFonts w:ascii="Arial" w:hAnsi="Arial" w:eastAsia="仿宋_GB2312" w:cs="Arial"/>
      <w:kern w:val="0"/>
      <w:sz w:val="24"/>
      <w:szCs w:val="32"/>
    </w:rPr>
  </w:style>
  <w:style w:type="paragraph" w:customStyle="1" w:styleId="105">
    <w:name w:val="正文（缩进）"/>
    <w:basedOn w:val="1"/>
    <w:qFormat/>
    <w:uiPriority w:val="0"/>
    <w:pPr>
      <w:widowControl/>
      <w:spacing w:before="156" w:after="156"/>
      <w:ind w:firstLine="480" w:firstLineChars="200"/>
      <w:jc w:val="left"/>
    </w:pPr>
    <w:rPr>
      <w:rFonts w:ascii="仿宋_GB2312" w:eastAsia="仿宋_GB2312"/>
      <w:kern w:val="0"/>
      <w:sz w:val="24"/>
      <w:szCs w:val="24"/>
    </w:rPr>
  </w:style>
  <w:style w:type="paragraph" w:customStyle="1" w:styleId="106">
    <w:name w:val="基本文字 Char"/>
    <w:basedOn w:val="1"/>
    <w:qFormat/>
    <w:uiPriority w:val="0"/>
    <w:pPr>
      <w:spacing w:before="156" w:line="400" w:lineRule="atLeast"/>
      <w:ind w:firstLine="540" w:firstLineChars="225"/>
    </w:pPr>
    <w:rPr>
      <w:sz w:val="24"/>
    </w:rPr>
  </w:style>
  <w:style w:type="paragraph" w:customStyle="1" w:styleId="107">
    <w:name w:val="D&amp;L"/>
    <w:basedOn w:val="38"/>
    <w:qFormat/>
    <w:uiPriority w:val="0"/>
    <w:pPr>
      <w:pBdr>
        <w:bottom w:val="thinThickSmallGap" w:color="auto" w:sz="18" w:space="1"/>
      </w:pBdr>
      <w:adjustRightInd w:val="0"/>
      <w:snapToGrid/>
      <w:spacing w:line="240" w:lineRule="atLeast"/>
      <w:textAlignment w:val="baseline"/>
    </w:pPr>
    <w:rPr>
      <w:rFonts w:ascii="Times New Roman" w:hAnsi="Times New Roman" w:eastAsia="宋体" w:cs="Times New Roman"/>
      <w:kern w:val="0"/>
      <w:sz w:val="24"/>
      <w:szCs w:val="20"/>
    </w:rPr>
  </w:style>
  <w:style w:type="paragraph" w:customStyle="1" w:styleId="108">
    <w:name w:val="文章正文"/>
    <w:basedOn w:val="1"/>
    <w:qFormat/>
    <w:uiPriority w:val="0"/>
    <w:pPr>
      <w:tabs>
        <w:tab w:val="left" w:pos="992"/>
      </w:tabs>
      <w:spacing w:beforeLines="50" w:afterLines="50" w:line="320" w:lineRule="exact"/>
      <w:ind w:firstLine="200" w:firstLineChars="200"/>
    </w:pPr>
    <w:rPr>
      <w:rFonts w:ascii="仿宋_GB2312" w:eastAsia="仿宋_GB2312"/>
      <w:sz w:val="28"/>
      <w:szCs w:val="24"/>
    </w:rPr>
  </w:style>
  <w:style w:type="paragraph" w:customStyle="1" w:styleId="109">
    <w:name w:val="二级标题"/>
    <w:basedOn w:val="1"/>
    <w:next w:val="108"/>
    <w:qFormat/>
    <w:uiPriority w:val="0"/>
    <w:pPr>
      <w:tabs>
        <w:tab w:val="left" w:pos="992"/>
      </w:tabs>
      <w:ind w:left="992" w:hanging="567"/>
      <w:outlineLvl w:val="1"/>
    </w:pPr>
    <w:rPr>
      <w:rFonts w:ascii="黑体" w:eastAsia="黑体"/>
      <w:sz w:val="28"/>
      <w:szCs w:val="24"/>
    </w:rPr>
  </w:style>
  <w:style w:type="paragraph" w:customStyle="1" w:styleId="110">
    <w:name w:val="一级标题"/>
    <w:basedOn w:val="1"/>
    <w:next w:val="109"/>
    <w:qFormat/>
    <w:uiPriority w:val="0"/>
    <w:pPr>
      <w:tabs>
        <w:tab w:val="left" w:pos="425"/>
        <w:tab w:val="left" w:pos="1418"/>
      </w:tabs>
      <w:spacing w:afterLines="100"/>
      <w:ind w:left="850" w:hanging="425"/>
      <w:outlineLvl w:val="0"/>
    </w:pPr>
    <w:rPr>
      <w:rFonts w:ascii="黑体" w:eastAsia="黑体"/>
      <w:sz w:val="30"/>
      <w:szCs w:val="28"/>
    </w:rPr>
  </w:style>
  <w:style w:type="paragraph" w:customStyle="1" w:styleId="111">
    <w:name w:val="SUR-需求定义-第4级"/>
    <w:basedOn w:val="5"/>
    <w:next w:val="1"/>
    <w:qFormat/>
    <w:uiPriority w:val="0"/>
    <w:pPr>
      <w:tabs>
        <w:tab w:val="left" w:pos="1080"/>
      </w:tabs>
      <w:spacing w:before="0" w:after="0"/>
      <w:ind w:left="-283" w:firstLine="283"/>
      <w:jc w:val="left"/>
    </w:pPr>
    <w:rPr>
      <w:rFonts w:cs="Arial"/>
      <w:b w:val="0"/>
      <w:color w:val="0000FF"/>
      <w:sz w:val="24"/>
      <w:szCs w:val="24"/>
    </w:rPr>
  </w:style>
  <w:style w:type="paragraph" w:customStyle="1" w:styleId="112">
    <w:name w:val="样式1"/>
    <w:basedOn w:val="1"/>
    <w:qFormat/>
    <w:uiPriority w:val="0"/>
    <w:pPr>
      <w:tabs>
        <w:tab w:val="left" w:pos="709"/>
      </w:tabs>
      <w:adjustRightInd w:val="0"/>
      <w:ind w:left="709" w:hanging="709"/>
      <w:textAlignment w:val="baseline"/>
    </w:pPr>
    <w:rPr>
      <w:rFonts w:ascii="宋体" w:hAnsi="宋体"/>
      <w:kern w:val="0"/>
    </w:rPr>
  </w:style>
  <w:style w:type="character" w:customStyle="1" w:styleId="113">
    <w:name w:val="批注文字 Char"/>
    <w:basedOn w:val="60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14">
    <w:name w:val="批注文字 Char1"/>
    <w:link w:val="20"/>
    <w:qFormat/>
    <w:uiPriority w:val="99"/>
    <w:rPr>
      <w:rFonts w:ascii="Times New Roman" w:hAnsi="Times New Roman" w:eastAsia="宋体" w:cs="Times New Roman"/>
      <w:szCs w:val="20"/>
    </w:rPr>
  </w:style>
  <w:style w:type="paragraph" w:customStyle="1" w:styleId="115">
    <w:name w:val="Char"/>
    <w:basedOn w:val="1"/>
    <w:uiPriority w:val="0"/>
    <w:rPr>
      <w:rFonts w:ascii="Tahoma" w:hAnsi="Tahoma"/>
      <w:sz w:val="24"/>
    </w:rPr>
  </w:style>
  <w:style w:type="paragraph" w:styleId="11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17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18">
    <w:name w:val="正文缩进 Char1"/>
    <w:link w:val="15"/>
    <w:qFormat/>
    <w:uiPriority w:val="0"/>
    <w:rPr>
      <w:rFonts w:ascii="Calibri" w:hAnsi="Calibri" w:eastAsia="宋体" w:cs="Plotter"/>
      <w:sz w:val="24"/>
      <w:szCs w:val="24"/>
    </w:rPr>
  </w:style>
  <w:style w:type="paragraph" w:customStyle="1" w:styleId="119">
    <w:name w:val="p15"/>
    <w:basedOn w:val="1"/>
    <w:qFormat/>
    <w:uiPriority w:val="0"/>
    <w:pPr>
      <w:widowControl/>
      <w:jc w:val="center"/>
    </w:pPr>
    <w:rPr>
      <w:rFonts w:ascii="仿宋_GB2312" w:hAnsi="宋体" w:eastAsia="仿宋_GB2312" w:cs="宋体"/>
      <w:b/>
      <w:bCs/>
      <w:kern w:val="0"/>
      <w:sz w:val="28"/>
      <w:szCs w:val="28"/>
    </w:rPr>
  </w:style>
  <w:style w:type="paragraph" w:customStyle="1" w:styleId="120">
    <w:name w:val="Char Char3 Char Char Char Char"/>
    <w:basedOn w:val="1"/>
    <w:qFormat/>
    <w:uiPriority w:val="0"/>
    <w:rPr>
      <w:rFonts w:ascii="Tahoma" w:hAnsi="Tahoma"/>
      <w:sz w:val="24"/>
    </w:rPr>
  </w:style>
  <w:style w:type="character" w:customStyle="1" w:styleId="121">
    <w:name w:val="标题 1 Char1"/>
    <w:uiPriority w:val="0"/>
    <w:rPr>
      <w:b/>
      <w:bCs/>
      <w:kern w:val="44"/>
      <w:sz w:val="44"/>
      <w:szCs w:val="44"/>
    </w:rPr>
  </w:style>
  <w:style w:type="character" w:customStyle="1" w:styleId="122">
    <w:name w:val="正文文本 Char1"/>
    <w:uiPriority w:val="0"/>
    <w:rPr>
      <w:kern w:val="2"/>
      <w:sz w:val="21"/>
      <w:szCs w:val="24"/>
    </w:rPr>
  </w:style>
  <w:style w:type="character" w:customStyle="1" w:styleId="123">
    <w:name w:val="副标题 Char"/>
    <w:basedOn w:val="60"/>
    <w:link w:val="43"/>
    <w:qFormat/>
    <w:uiPriority w:val="0"/>
    <w:rPr>
      <w:rFonts w:ascii="Arial" w:hAnsi="Arial" w:eastAsia="宋体" w:cs="Arial"/>
      <w:b/>
      <w:bCs/>
      <w:kern w:val="28"/>
      <w:sz w:val="32"/>
      <w:szCs w:val="32"/>
    </w:rPr>
  </w:style>
  <w:style w:type="character" w:customStyle="1" w:styleId="124">
    <w:name w:val="普通文字1 Char1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25">
    <w:name w:val="批注主题 Char"/>
    <w:basedOn w:val="113"/>
    <w:link w:val="56"/>
    <w:qFormat/>
    <w:uiPriority w:val="0"/>
    <w:rPr>
      <w:rFonts w:ascii="Times New Roman" w:hAnsi="Times New Roman" w:eastAsia="宋体" w:cs="Times New Roman"/>
      <w:b/>
      <w:bCs/>
      <w:kern w:val="0"/>
      <w:sz w:val="24"/>
      <w:szCs w:val="20"/>
    </w:rPr>
  </w:style>
  <w:style w:type="paragraph" w:customStyle="1" w:styleId="126">
    <w:name w:val="TOC Heading"/>
    <w:basedOn w:val="2"/>
    <w:next w:val="1"/>
    <w:qFormat/>
    <w:uiPriority w:val="0"/>
    <w:pPr>
      <w:adjustRightInd w:val="0"/>
      <w:snapToGrid w:val="0"/>
      <w:spacing w:before="0" w:after="0" w:afterLines="50" w:line="360" w:lineRule="auto"/>
      <w:jc w:val="left"/>
      <w:outlineLvl w:val="9"/>
    </w:pPr>
    <w:rPr>
      <w:sz w:val="28"/>
      <w:lang w:eastAsia="en-US" w:bidi="en-US"/>
    </w:rPr>
  </w:style>
  <w:style w:type="character" w:customStyle="1" w:styleId="127">
    <w:name w:val="文档 Char"/>
    <w:link w:val="128"/>
    <w:locked/>
    <w:uiPriority w:val="0"/>
    <w:rPr>
      <w:sz w:val="24"/>
      <w:szCs w:val="24"/>
    </w:rPr>
  </w:style>
  <w:style w:type="paragraph" w:customStyle="1" w:styleId="128">
    <w:name w:val="文档"/>
    <w:basedOn w:val="1"/>
    <w:link w:val="127"/>
    <w:qFormat/>
    <w:uiPriority w:val="0"/>
    <w:pPr>
      <w:adjustRightInd w:val="0"/>
      <w:snapToGrid w:val="0"/>
      <w:spacing w:afterLines="50"/>
      <w:ind w:firstLine="480" w:firstLineChars="200"/>
      <w:jc w:val="left"/>
    </w:pPr>
    <w:rPr>
      <w:rFonts w:asciiTheme="minorHAnsi" w:hAnsiTheme="minorHAnsi" w:eastAsiaTheme="minorEastAsia" w:cstheme="minorBidi"/>
      <w:sz w:val="24"/>
      <w:szCs w:val="24"/>
    </w:rPr>
  </w:style>
  <w:style w:type="paragraph" w:customStyle="1" w:styleId="129">
    <w:name w:val="表内容"/>
    <w:basedOn w:val="128"/>
    <w:uiPriority w:val="0"/>
    <w:pPr>
      <w:spacing w:afterLines="0"/>
      <w:ind w:firstLine="0" w:firstLineChars="0"/>
      <w:jc w:val="center"/>
    </w:pPr>
    <w:rPr>
      <w:sz w:val="21"/>
    </w:rPr>
  </w:style>
  <w:style w:type="paragraph" w:customStyle="1" w:styleId="130">
    <w:name w:val="Char Char Char Char Char Char"/>
    <w:basedOn w:val="1"/>
    <w:uiPriority w:val="0"/>
    <w:pPr>
      <w:widowControl/>
      <w:spacing w:after="160" w:line="240" w:lineRule="exact"/>
      <w:jc w:val="left"/>
    </w:pPr>
    <w:rPr>
      <w:kern w:val="0"/>
      <w:sz w:val="24"/>
    </w:rPr>
  </w:style>
  <w:style w:type="character" w:customStyle="1" w:styleId="131">
    <w:name w:val="末级 Char Char"/>
    <w:link w:val="132"/>
    <w:qFormat/>
    <w:locked/>
    <w:uiPriority w:val="0"/>
    <w:rPr>
      <w:sz w:val="24"/>
      <w:szCs w:val="24"/>
    </w:rPr>
  </w:style>
  <w:style w:type="paragraph" w:customStyle="1" w:styleId="132">
    <w:name w:val="末级"/>
    <w:basedOn w:val="1"/>
    <w:link w:val="131"/>
    <w:qFormat/>
    <w:uiPriority w:val="0"/>
    <w:pPr>
      <w:tabs>
        <w:tab w:val="left" w:pos="964"/>
        <w:tab w:val="left" w:pos="2502"/>
      </w:tabs>
      <w:spacing w:line="360" w:lineRule="auto"/>
      <w:ind w:left="2502" w:hanging="432"/>
    </w:pPr>
    <w:rPr>
      <w:rFonts w:asciiTheme="minorHAnsi" w:hAnsiTheme="minorHAnsi" w:eastAsiaTheme="minorEastAsia" w:cstheme="minorBidi"/>
      <w:sz w:val="24"/>
      <w:szCs w:val="24"/>
    </w:rPr>
  </w:style>
  <w:style w:type="paragraph" w:customStyle="1" w:styleId="133">
    <w:name w:val="正文文本1"/>
    <w:uiPriority w:val="0"/>
    <w:pPr>
      <w:widowControl w:val="0"/>
      <w:autoSpaceDE w:val="0"/>
      <w:autoSpaceDN w:val="0"/>
      <w:adjustRightInd w:val="0"/>
      <w:spacing w:before="170" w:line="300" w:lineRule="atLeast"/>
      <w:ind w:left="1134"/>
      <w:jc w:val="both"/>
    </w:pPr>
    <w:rPr>
      <w:rFonts w:ascii="Times New Roman" w:hAnsi="Times New Roman" w:eastAsia="宋体" w:cs="Times New Roman"/>
      <w:color w:val="000000"/>
      <w:kern w:val="0"/>
      <w:sz w:val="24"/>
      <w:szCs w:val="20"/>
      <w:lang w:val="en-US" w:eastAsia="zh-CN" w:bidi="ar-SA"/>
    </w:rPr>
  </w:style>
  <w:style w:type="paragraph" w:customStyle="1" w:styleId="134">
    <w:name w:val="Char1"/>
    <w:basedOn w:val="1"/>
    <w:qFormat/>
    <w:uiPriority w:val="0"/>
    <w:rPr>
      <w:szCs w:val="24"/>
    </w:rPr>
  </w:style>
  <w:style w:type="paragraph" w:customStyle="1" w:styleId="135">
    <w:name w:val="样式 标题 3列表编号31.1.1 + 四号 加粗 行距: 1.5 倍行距"/>
    <w:basedOn w:val="4"/>
    <w:qFormat/>
    <w:uiPriority w:val="0"/>
    <w:pPr>
      <w:tabs>
        <w:tab w:val="left" w:pos="0"/>
      </w:tabs>
      <w:adjustRightInd w:val="0"/>
      <w:spacing w:before="0" w:after="0" w:line="360" w:lineRule="auto"/>
      <w:jc w:val="left"/>
    </w:pPr>
    <w:rPr>
      <w:rFonts w:ascii="Times New Roman" w:cs="宋体"/>
      <w:kern w:val="0"/>
      <w:sz w:val="28"/>
      <w:szCs w:val="20"/>
    </w:rPr>
  </w:style>
  <w:style w:type="paragraph" w:customStyle="1" w:styleId="136">
    <w:name w:val="样式2"/>
    <w:basedOn w:val="15"/>
    <w:qFormat/>
    <w:uiPriority w:val="0"/>
    <w:pPr>
      <w:adjustRightInd w:val="0"/>
      <w:spacing w:after="0" w:line="360" w:lineRule="auto"/>
      <w:ind w:left="491" w:leftChars="491" w:firstLine="0"/>
      <w:jc w:val="left"/>
    </w:pPr>
    <w:rPr>
      <w:rFonts w:ascii="Times New Roman" w:hAnsi="Times New Roman" w:cs="Times New Roman"/>
      <w:kern w:val="0"/>
      <w:szCs w:val="20"/>
    </w:rPr>
  </w:style>
  <w:style w:type="paragraph" w:customStyle="1" w:styleId="137">
    <w:name w:val="表格"/>
    <w:basedOn w:val="1"/>
    <w:qFormat/>
    <w:uiPriority w:val="0"/>
    <w:pPr>
      <w:widowControl/>
      <w:snapToGrid w:val="0"/>
      <w:spacing w:before="60" w:after="60"/>
      <w:jc w:val="left"/>
    </w:pPr>
    <w:rPr>
      <w:rFonts w:ascii="宋体"/>
      <w:sz w:val="20"/>
    </w:rPr>
  </w:style>
  <w:style w:type="paragraph" w:customStyle="1" w:styleId="138">
    <w:name w:val="flNote"/>
    <w:basedOn w:val="1"/>
    <w:uiPriority w:val="0"/>
    <w:pPr>
      <w:adjustRightInd w:val="0"/>
      <w:spacing w:before="567" w:line="360" w:lineRule="atLeast"/>
      <w:jc w:val="center"/>
    </w:pPr>
    <w:rPr>
      <w:rFonts w:eastAsia="黑体"/>
      <w:b/>
      <w:kern w:val="0"/>
      <w:sz w:val="24"/>
    </w:rPr>
  </w:style>
  <w:style w:type="paragraph" w:customStyle="1" w:styleId="139">
    <w:name w:val="表格文字"/>
    <w:basedOn w:val="1"/>
    <w:uiPriority w:val="0"/>
    <w:pPr>
      <w:snapToGrid w:val="0"/>
      <w:ind w:firstLine="200" w:firstLineChars="200"/>
      <w:jc w:val="center"/>
    </w:pPr>
    <w:rPr>
      <w:rFonts w:cs="宋体"/>
    </w:rPr>
  </w:style>
  <w:style w:type="paragraph" w:customStyle="1" w:styleId="140">
    <w:name w:val="样式 宋体 小四 首行缩进:  0.93 厘米 段前: 11.15 磅 段后: 11.15 磅1"/>
    <w:basedOn w:val="1"/>
    <w:uiPriority w:val="0"/>
    <w:pPr>
      <w:adjustRightInd w:val="0"/>
      <w:snapToGrid w:val="0"/>
      <w:ind w:left="200" w:leftChars="200"/>
    </w:pPr>
    <w:rPr>
      <w:rFonts w:ascii="宋体" w:cs="宋体"/>
      <w:sz w:val="24"/>
    </w:rPr>
  </w:style>
  <w:style w:type="paragraph" w:customStyle="1" w:styleId="141">
    <w:name w:val="通用"/>
    <w:basedOn w:val="1"/>
    <w:qFormat/>
    <w:uiPriority w:val="0"/>
    <w:pPr>
      <w:spacing w:line="360" w:lineRule="auto"/>
      <w:ind w:left="42"/>
    </w:pPr>
    <w:rPr>
      <w:rFonts w:ascii="宋体"/>
      <w:b/>
      <w:sz w:val="24"/>
    </w:rPr>
  </w:style>
  <w:style w:type="paragraph" w:customStyle="1" w:styleId="142">
    <w:name w:val="Char Char18"/>
    <w:basedOn w:val="1"/>
    <w:qFormat/>
    <w:uiPriority w:val="0"/>
    <w:pPr>
      <w:widowControl/>
      <w:spacing w:after="160" w:line="240" w:lineRule="exact"/>
      <w:jc w:val="left"/>
    </w:pPr>
    <w:rPr>
      <w:kern w:val="0"/>
      <w:sz w:val="24"/>
    </w:rPr>
  </w:style>
  <w:style w:type="paragraph" w:customStyle="1" w:styleId="143">
    <w:name w:val="Subhead 1"/>
    <w:basedOn w:val="1"/>
    <w:uiPriority w:val="0"/>
    <w:pPr>
      <w:keepNext/>
      <w:pageBreakBefore/>
      <w:widowControl/>
      <w:tabs>
        <w:tab w:val="left" w:pos="1134"/>
        <w:tab w:val="left" w:pos="2552"/>
      </w:tabs>
      <w:autoSpaceDE w:val="0"/>
      <w:autoSpaceDN w:val="0"/>
      <w:adjustRightInd w:val="0"/>
      <w:spacing w:before="510" w:after="400" w:line="420" w:lineRule="atLeast"/>
      <w:ind w:left="1134" w:hanging="1134"/>
      <w:jc w:val="left"/>
    </w:pPr>
    <w:rPr>
      <w:rFonts w:ascii="Arial" w:hAnsi="Arial" w:eastAsia="黑体"/>
      <w:b/>
      <w:kern w:val="0"/>
      <w:sz w:val="32"/>
    </w:rPr>
  </w:style>
  <w:style w:type="paragraph" w:customStyle="1" w:styleId="144">
    <w:name w:val="样式胡"/>
    <w:basedOn w:val="1"/>
    <w:uiPriority w:val="0"/>
    <w:pPr>
      <w:tabs>
        <w:tab w:val="left" w:pos="3300"/>
      </w:tabs>
      <w:ind w:left="3300" w:hanging="420"/>
    </w:pPr>
    <w:rPr>
      <w:rFonts w:ascii="黑体" w:hAnsi="Arial" w:eastAsia="黑体"/>
      <w:szCs w:val="24"/>
    </w:rPr>
  </w:style>
  <w:style w:type="paragraph" w:customStyle="1" w:styleId="145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cs="Tahoma"/>
      <w:kern w:val="0"/>
      <w:sz w:val="20"/>
      <w:lang w:eastAsia="en-US"/>
    </w:rPr>
  </w:style>
  <w:style w:type="paragraph" w:customStyle="1" w:styleId="146">
    <w:name w:val="专用"/>
    <w:basedOn w:val="1"/>
    <w:qFormat/>
    <w:uiPriority w:val="0"/>
    <w:pPr>
      <w:spacing w:afterLines="100"/>
      <w:ind w:left="838" w:hanging="838" w:hangingChars="262"/>
    </w:pPr>
    <w:rPr>
      <w:rFonts w:ascii="宋体"/>
      <w:b/>
      <w:color w:val="000000"/>
      <w:sz w:val="32"/>
    </w:rPr>
  </w:style>
  <w:style w:type="paragraph" w:customStyle="1" w:styleId="147">
    <w:name w:val="standdate"/>
    <w:basedOn w:val="37"/>
    <w:qFormat/>
    <w:uiPriority w:val="0"/>
    <w:pPr>
      <w:pBdr>
        <w:top w:val="single" w:color="auto" w:sz="6" w:space="7"/>
      </w:pBdr>
      <w:adjustRightInd w:val="0"/>
      <w:snapToGrid/>
      <w:spacing w:line="240" w:lineRule="atLeast"/>
      <w:jc w:val="center"/>
    </w:pPr>
    <w:rPr>
      <w:rFonts w:ascii="黑体" w:hAnsi="Times New Roman" w:eastAsia="黑体" w:cs="Times New Roman"/>
      <w:b/>
      <w:spacing w:val="-4"/>
      <w:kern w:val="0"/>
      <w:sz w:val="21"/>
      <w:szCs w:val="20"/>
    </w:rPr>
  </w:style>
  <w:style w:type="paragraph" w:customStyle="1" w:styleId="148">
    <w:name w:val="正文1"/>
    <w:qFormat/>
    <w:uiPriority w:val="0"/>
    <w:pPr>
      <w:widowControl w:val="0"/>
      <w:adjustRightInd w:val="0"/>
      <w:spacing w:line="312" w:lineRule="atLeast"/>
      <w:jc w:val="both"/>
    </w:pPr>
    <w:rPr>
      <w:rFonts w:ascii="宋体" w:hAnsi="Times New Roman" w:eastAsia="宋体" w:cs="Times New Roman"/>
      <w:kern w:val="0"/>
      <w:sz w:val="34"/>
      <w:szCs w:val="20"/>
      <w:lang w:val="en-US" w:eastAsia="zh-CN" w:bidi="ar-SA"/>
    </w:rPr>
  </w:style>
  <w:style w:type="paragraph" w:customStyle="1" w:styleId="149">
    <w:name w:val="样式3"/>
    <w:basedOn w:val="1"/>
    <w:qFormat/>
    <w:uiPriority w:val="0"/>
    <w:pPr>
      <w:tabs>
        <w:tab w:val="left" w:pos="1180"/>
      </w:tabs>
      <w:autoSpaceDE w:val="0"/>
      <w:autoSpaceDN w:val="0"/>
      <w:adjustRightInd w:val="0"/>
      <w:ind w:left="491" w:leftChars="-24" w:hanging="515" w:hangingChars="515"/>
      <w:jc w:val="left"/>
    </w:pPr>
    <w:rPr>
      <w:color w:val="000000"/>
      <w:kern w:val="0"/>
      <w:sz w:val="24"/>
    </w:rPr>
  </w:style>
  <w:style w:type="paragraph" w:customStyle="1" w:styleId="150">
    <w:name w:val="五级"/>
    <w:basedOn w:val="3"/>
    <w:uiPriority w:val="0"/>
    <w:pPr>
      <w:keepNext w:val="0"/>
      <w:keepLines w:val="0"/>
      <w:tabs>
        <w:tab w:val="left" w:pos="709"/>
        <w:tab w:val="left" w:pos="851"/>
      </w:tabs>
      <w:spacing w:before="0" w:after="0" w:line="360" w:lineRule="auto"/>
      <w:ind w:left="709" w:hanging="709"/>
      <w:jc w:val="both"/>
    </w:pPr>
    <w:rPr>
      <w:rFonts w:ascii="宋体" w:hAnsi="宋体" w:eastAsia="宋体"/>
      <w:b w:val="0"/>
      <w:sz w:val="24"/>
    </w:rPr>
  </w:style>
  <w:style w:type="paragraph" w:customStyle="1" w:styleId="151">
    <w:name w:val="样式4"/>
    <w:basedOn w:val="55"/>
    <w:uiPriority w:val="0"/>
    <w:pPr>
      <w:tabs>
        <w:tab w:val="left" w:pos="840"/>
      </w:tabs>
      <w:spacing w:line="360" w:lineRule="auto"/>
    </w:pPr>
    <w:rPr>
      <w:rFonts w:ascii="黑体" w:hAnsi="Arial" w:eastAsia="黑体" w:cs="Arial"/>
      <w:b w:val="0"/>
      <w:sz w:val="36"/>
      <w:szCs w:val="36"/>
    </w:rPr>
  </w:style>
  <w:style w:type="paragraph" w:customStyle="1" w:styleId="152">
    <w:name w:val="条目"/>
    <w:basedOn w:val="55"/>
    <w:next w:val="1"/>
    <w:qFormat/>
    <w:uiPriority w:val="0"/>
    <w:pPr>
      <w:tabs>
        <w:tab w:val="left" w:pos="840"/>
        <w:tab w:val="left" w:pos="1980"/>
      </w:tabs>
      <w:spacing w:before="280" w:after="0" w:line="160" w:lineRule="exact"/>
      <w:ind w:left="1980" w:hanging="720"/>
      <w:jc w:val="left"/>
    </w:pPr>
    <w:rPr>
      <w:rFonts w:ascii="黑体" w:hAnsi="Arial" w:eastAsia="黑体" w:cs="Arial"/>
      <w:bCs w:val="0"/>
      <w:spacing w:val="40"/>
      <w:kern w:val="40"/>
      <w:sz w:val="24"/>
      <w:szCs w:val="20"/>
    </w:rPr>
  </w:style>
  <w:style w:type="paragraph" w:customStyle="1" w:styleId="153">
    <w:name w:val="Char Char1 Char Char Char Char Char Char Char Char Char Char Char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154">
    <w:name w:val="Char Char Char"/>
    <w:basedOn w:val="1"/>
    <w:qFormat/>
    <w:uiPriority w:val="0"/>
    <w:rPr>
      <w:rFonts w:ascii="Tahoma" w:hAnsi="Tahoma"/>
      <w:sz w:val="24"/>
    </w:rPr>
  </w:style>
  <w:style w:type="paragraph" w:customStyle="1" w:styleId="155">
    <w:name w:val="默认段落字体 Para Char"/>
    <w:basedOn w:val="1"/>
    <w:next w:val="1"/>
    <w:qFormat/>
    <w:uiPriority w:val="0"/>
    <w:rPr>
      <w:szCs w:val="24"/>
    </w:rPr>
  </w:style>
  <w:style w:type="paragraph" w:customStyle="1" w:styleId="156">
    <w:name w:val="合同书"/>
    <w:basedOn w:val="1"/>
    <w:uiPriority w:val="0"/>
    <w:pPr>
      <w:jc w:val="center"/>
    </w:pPr>
    <w:rPr>
      <w:rFonts w:ascii="宋体"/>
      <w:b/>
      <w:sz w:val="36"/>
    </w:rPr>
  </w:style>
  <w:style w:type="paragraph" w:customStyle="1" w:styleId="157">
    <w:name w:val="Char Char Char Char"/>
    <w:basedOn w:val="1"/>
    <w:uiPriority w:val="0"/>
    <w:rPr>
      <w:sz w:val="30"/>
      <w:szCs w:val="24"/>
    </w:rPr>
  </w:style>
  <w:style w:type="paragraph" w:customStyle="1" w:styleId="158">
    <w:name w:val="大标题"/>
    <w:qFormat/>
    <w:uiPriority w:val="0"/>
    <w:pPr>
      <w:tabs>
        <w:tab w:val="left" w:pos="1134"/>
      </w:tabs>
      <w:snapToGrid w:val="0"/>
      <w:spacing w:before="240" w:after="240" w:line="288" w:lineRule="auto"/>
    </w:pPr>
    <w:rPr>
      <w:rFonts w:ascii="黑体" w:hAnsi="Times New Roman" w:eastAsia="黑体" w:cs="Times New Roman"/>
      <w:kern w:val="0"/>
      <w:sz w:val="24"/>
      <w:szCs w:val="20"/>
      <w:lang w:val="en-US" w:eastAsia="zh-CN" w:bidi="ar-SA"/>
    </w:rPr>
  </w:style>
  <w:style w:type="paragraph" w:customStyle="1" w:styleId="159">
    <w:name w:val="Char3 Char Char Char"/>
    <w:basedOn w:val="1"/>
    <w:uiPriority w:val="0"/>
    <w:rPr>
      <w:rFonts w:ascii="仿宋_GB2312" w:eastAsia="仿宋_GB2312"/>
      <w:b/>
      <w:sz w:val="32"/>
      <w:szCs w:val="32"/>
    </w:rPr>
  </w:style>
  <w:style w:type="paragraph" w:customStyle="1" w:styleId="160">
    <w:name w:val="样式12"/>
    <w:basedOn w:val="1"/>
    <w:uiPriority w:val="0"/>
    <w:pPr>
      <w:adjustRightInd w:val="0"/>
      <w:spacing w:line="480" w:lineRule="exact"/>
      <w:ind w:left="600" w:leftChars="250" w:firstLine="480" w:firstLineChars="200"/>
      <w:jc w:val="left"/>
    </w:pPr>
    <w:rPr>
      <w:rFonts w:ascii="宋体" w:hAnsi="宋体"/>
      <w:kern w:val="0"/>
      <w:sz w:val="24"/>
      <w:szCs w:val="24"/>
    </w:rPr>
  </w:style>
  <w:style w:type="character" w:customStyle="1" w:styleId="161">
    <w:name w:val="正文段落 m14 Char Char"/>
    <w:link w:val="162"/>
    <w:locked/>
    <w:uiPriority w:val="0"/>
    <w:rPr>
      <w:rFonts w:eastAsia="Times New Roman"/>
      <w:sz w:val="24"/>
    </w:rPr>
  </w:style>
  <w:style w:type="paragraph" w:customStyle="1" w:styleId="162">
    <w:name w:val="正文段落 m14"/>
    <w:link w:val="161"/>
    <w:uiPriority w:val="0"/>
    <w:pPr>
      <w:adjustRightInd w:val="0"/>
      <w:snapToGrid w:val="0"/>
      <w:spacing w:beforeLines="50" w:line="360" w:lineRule="auto"/>
      <w:ind w:firstLine="480" w:firstLineChars="200"/>
    </w:pPr>
    <w:rPr>
      <w:rFonts w:eastAsia="Times New Roman" w:asciiTheme="minorHAnsi" w:hAnsiTheme="minorHAnsi" w:cstheme="minorBidi"/>
      <w:kern w:val="2"/>
      <w:sz w:val="24"/>
      <w:szCs w:val="22"/>
      <w:lang w:val="en-US" w:eastAsia="zh-CN" w:bidi="ar-SA"/>
    </w:rPr>
  </w:style>
  <w:style w:type="character" w:customStyle="1" w:styleId="163">
    <w:name w:val="样式 首行缩进:  2 字符 Char1"/>
    <w:link w:val="164"/>
    <w:locked/>
    <w:uiPriority w:val="0"/>
    <w:rPr>
      <w:sz w:val="24"/>
    </w:rPr>
  </w:style>
  <w:style w:type="paragraph" w:customStyle="1" w:styleId="164">
    <w:name w:val="样式 首行缩进:  2 字符"/>
    <w:basedOn w:val="1"/>
    <w:link w:val="163"/>
    <w:uiPriority w:val="0"/>
    <w:pPr>
      <w:spacing w:line="480" w:lineRule="exact"/>
      <w:ind w:firstLine="480" w:firstLineChars="200"/>
    </w:pPr>
    <w:rPr>
      <w:rFonts w:asciiTheme="minorHAnsi" w:hAnsiTheme="minorHAnsi" w:eastAsiaTheme="minorEastAsia" w:cstheme="minorBidi"/>
      <w:sz w:val="24"/>
      <w:szCs w:val="22"/>
    </w:rPr>
  </w:style>
  <w:style w:type="paragraph" w:customStyle="1" w:styleId="165">
    <w:name w:val="_Style 49"/>
    <w:basedOn w:val="1"/>
    <w:qFormat/>
    <w:uiPriority w:val="0"/>
    <w:pPr>
      <w:spacing w:beforeLines="50" w:afterLines="50"/>
    </w:pPr>
    <w:rPr>
      <w:szCs w:val="24"/>
    </w:rPr>
  </w:style>
  <w:style w:type="paragraph" w:customStyle="1" w:styleId="166">
    <w:name w:val="样式 样式 标题 4 + (符号) 宋体 行距: 固定值 22 磅 + 黑色"/>
    <w:basedOn w:val="1"/>
    <w:uiPriority w:val="0"/>
    <w:pPr>
      <w:tabs>
        <w:tab w:val="left" w:pos="2400"/>
      </w:tabs>
      <w:adjustRightInd w:val="0"/>
      <w:spacing w:before="50" w:after="50" w:line="440" w:lineRule="exact"/>
      <w:ind w:left="-284" w:hanging="420"/>
      <w:jc w:val="left"/>
      <w:outlineLvl w:val="3"/>
    </w:pPr>
    <w:rPr>
      <w:rFonts w:ascii="宋体" w:hAnsi="宋体" w:cs="宋体"/>
      <w:color w:val="000000"/>
      <w:kern w:val="0"/>
      <w:sz w:val="24"/>
    </w:rPr>
  </w:style>
  <w:style w:type="paragraph" w:customStyle="1" w:styleId="167">
    <w:name w:val="Char Char Char Char Char"/>
    <w:basedOn w:val="1"/>
    <w:qFormat/>
    <w:uiPriority w:val="0"/>
    <w:pPr>
      <w:ind w:firstLine="360" w:firstLineChars="150"/>
    </w:pPr>
  </w:style>
  <w:style w:type="paragraph" w:customStyle="1" w:styleId="168">
    <w:name w:val="样式 标题 3标题 3 Char Char标题 3 Char Char Char Char + 黑体 段前: 12 磅 ..."/>
    <w:basedOn w:val="4"/>
    <w:uiPriority w:val="0"/>
    <w:pPr>
      <w:spacing w:before="240" w:after="120" w:line="240" w:lineRule="auto"/>
      <w:jc w:val="left"/>
    </w:pPr>
    <w:rPr>
      <w:rFonts w:ascii="黑体" w:hAnsi="Arial" w:eastAsia="黑体" w:cs="宋体"/>
      <w:b w:val="0"/>
      <w:kern w:val="0"/>
      <w:sz w:val="28"/>
      <w:szCs w:val="20"/>
    </w:rPr>
  </w:style>
  <w:style w:type="paragraph" w:customStyle="1" w:styleId="169">
    <w:name w:val="纯文本1"/>
    <w:basedOn w:val="1"/>
    <w:qFormat/>
    <w:uiPriority w:val="0"/>
    <w:pPr>
      <w:adjustRightInd w:val="0"/>
      <w:spacing w:line="312" w:lineRule="atLeast"/>
    </w:pPr>
    <w:rPr>
      <w:rFonts w:ascii="宋体" w:hAnsi="Courier New"/>
      <w:kern w:val="0"/>
      <w:sz w:val="28"/>
    </w:rPr>
  </w:style>
  <w:style w:type="paragraph" w:customStyle="1" w:styleId="170">
    <w:name w:val="Char1 Char Char Char Char Char Char2 Char Char Char Char Char Char Char"/>
    <w:basedOn w:val="1"/>
    <w:qFormat/>
    <w:uiPriority w:val="0"/>
    <w:pPr>
      <w:ind w:firstLine="360" w:firstLineChars="150"/>
    </w:pPr>
    <w:rPr>
      <w:rFonts w:ascii="Tahoma" w:hAnsi="Tahoma"/>
      <w:sz w:val="24"/>
    </w:rPr>
  </w:style>
  <w:style w:type="paragraph" w:customStyle="1" w:styleId="171">
    <w:name w:val="Char Char Char1 Char Char Char"/>
    <w:basedOn w:val="1"/>
    <w:qFormat/>
    <w:uiPriority w:val="0"/>
  </w:style>
  <w:style w:type="paragraph" w:customStyle="1" w:styleId="172">
    <w:name w:val="格式2"/>
    <w:basedOn w:val="3"/>
    <w:qFormat/>
    <w:uiPriority w:val="0"/>
    <w:pPr>
      <w:autoSpaceDE w:val="0"/>
      <w:autoSpaceDN w:val="0"/>
      <w:adjustRightInd w:val="0"/>
      <w:spacing w:line="416" w:lineRule="atLeast"/>
      <w:ind w:firstLine="0"/>
      <w:jc w:val="both"/>
    </w:pPr>
    <w:rPr>
      <w:rFonts w:ascii="黑体" w:hAnsi="Times New Roman"/>
      <w:b w:val="0"/>
      <w:kern w:val="0"/>
      <w:sz w:val="30"/>
      <w:szCs w:val="20"/>
    </w:rPr>
  </w:style>
  <w:style w:type="paragraph" w:customStyle="1" w:styleId="173">
    <w:name w:val="样式8"/>
    <w:basedOn w:val="112"/>
    <w:qFormat/>
    <w:uiPriority w:val="0"/>
    <w:pPr>
      <w:keepNext/>
      <w:keepLines/>
      <w:tabs>
        <w:tab w:val="clear" w:pos="709"/>
      </w:tabs>
      <w:spacing w:beforeLines="100"/>
      <w:ind w:left="0" w:firstLine="0"/>
      <w:jc w:val="center"/>
      <w:textAlignment w:val="auto"/>
      <w:outlineLvl w:val="1"/>
    </w:pPr>
    <w:rPr>
      <w:rFonts w:ascii="黑体" w:hAnsi="Times New Roman" w:eastAsia="黑体"/>
      <w:sz w:val="36"/>
      <w:szCs w:val="36"/>
    </w:rPr>
  </w:style>
  <w:style w:type="paragraph" w:customStyle="1" w:styleId="174">
    <w:name w:val="样式9"/>
    <w:basedOn w:val="149"/>
    <w:qFormat/>
    <w:uiPriority w:val="0"/>
    <w:pPr>
      <w:tabs>
        <w:tab w:val="clear" w:pos="1180"/>
      </w:tabs>
      <w:autoSpaceDE/>
      <w:autoSpaceDN/>
      <w:spacing w:line="480" w:lineRule="exact"/>
      <w:ind w:left="0" w:leftChars="0" w:firstLine="480" w:firstLineChars="200"/>
    </w:pPr>
    <w:rPr>
      <w:rFonts w:ascii="宋体" w:hAnsi="宋体"/>
      <w:color w:val="auto"/>
      <w:szCs w:val="24"/>
    </w:rPr>
  </w:style>
  <w:style w:type="paragraph" w:customStyle="1" w:styleId="175">
    <w:name w:val="样式18"/>
    <w:basedOn w:val="31"/>
    <w:uiPriority w:val="0"/>
    <w:pPr>
      <w:spacing w:line="480" w:lineRule="exact"/>
      <w:ind w:firstLine="480" w:firstLineChars="200"/>
    </w:pPr>
    <w:rPr>
      <w:rFonts w:hAnsi="宋体"/>
      <w:sz w:val="24"/>
      <w:szCs w:val="24"/>
    </w:rPr>
  </w:style>
  <w:style w:type="paragraph" w:customStyle="1" w:styleId="176">
    <w:name w:val="样式15"/>
    <w:basedOn w:val="1"/>
    <w:uiPriority w:val="0"/>
    <w:pPr>
      <w:adjustRightInd w:val="0"/>
      <w:spacing w:beforeLines="20" w:line="360" w:lineRule="auto"/>
      <w:ind w:firstLine="715" w:firstLineChars="298"/>
      <w:jc w:val="left"/>
    </w:pPr>
    <w:rPr>
      <w:rFonts w:ascii="黑体" w:eastAsia="黑体"/>
      <w:kern w:val="0"/>
      <w:sz w:val="24"/>
      <w:szCs w:val="24"/>
    </w:rPr>
  </w:style>
  <w:style w:type="paragraph" w:customStyle="1" w:styleId="177">
    <w:name w:val="样式 样式 样式 标题 3 + 四号 段前: 0 磅 段后: 0 磅 行距: 固定值 24 磅 + Times New Roma..."/>
    <w:basedOn w:val="1"/>
    <w:uiPriority w:val="0"/>
    <w:pPr>
      <w:autoSpaceDE w:val="0"/>
      <w:autoSpaceDN w:val="0"/>
      <w:adjustRightInd w:val="0"/>
      <w:spacing w:line="480" w:lineRule="exact"/>
      <w:ind w:firstLine="200" w:firstLineChars="200"/>
    </w:pPr>
    <w:rPr>
      <w:rFonts w:cs="宋体"/>
      <w:color w:val="000000"/>
      <w:sz w:val="28"/>
    </w:rPr>
  </w:style>
  <w:style w:type="paragraph" w:customStyle="1" w:styleId="17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  <w:style w:type="paragraph" w:customStyle="1" w:styleId="179">
    <w:name w:val="Blockquote"/>
    <w:basedOn w:val="1"/>
    <w:qFormat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</w:rPr>
  </w:style>
  <w:style w:type="character" w:customStyle="1" w:styleId="180">
    <w:name w:val="Char Char1"/>
    <w:qFormat/>
    <w:uiPriority w:val="0"/>
    <w:rPr>
      <w:rFonts w:hint="eastAsia" w:ascii="宋体" w:hAnsi="宋体" w:eastAsia="宋体"/>
      <w:sz w:val="24"/>
      <w:u w:val="single"/>
      <w:lang w:val="en-US" w:eastAsia="zh-CN" w:bidi="ar-SA"/>
    </w:rPr>
  </w:style>
  <w:style w:type="character" w:customStyle="1" w:styleId="181">
    <w:name w:val="标题 Char1"/>
    <w:qFormat/>
    <w:uiPriority w:val="0"/>
    <w:rPr>
      <w:rFonts w:hint="default" w:ascii="Cambria" w:hAnsi="Cambria" w:cs="Times New Roman"/>
      <w:b/>
      <w:bCs/>
      <w:kern w:val="2"/>
      <w:sz w:val="32"/>
      <w:szCs w:val="32"/>
    </w:rPr>
  </w:style>
  <w:style w:type="character" w:customStyle="1" w:styleId="182">
    <w:name w:val="Char2"/>
    <w:qFormat/>
    <w:uiPriority w:val="0"/>
    <w:rPr>
      <w:rFonts w:hint="eastAsia" w:ascii="黑体" w:hAnsi="Arial" w:eastAsia="黑体" w:cs="Arial"/>
      <w:bCs/>
      <w:kern w:val="2"/>
      <w:sz w:val="32"/>
      <w:szCs w:val="32"/>
      <w:lang w:val="en-US" w:eastAsia="zh-CN" w:bidi="ar-SA"/>
    </w:rPr>
  </w:style>
  <w:style w:type="paragraph" w:customStyle="1" w:styleId="183">
    <w:name w:val="flName"/>
    <w:basedOn w:val="138"/>
    <w:qFormat/>
    <w:uiPriority w:val="0"/>
    <w:pPr>
      <w:spacing w:before="0" w:line="113" w:lineRule="atLeast"/>
    </w:pPr>
  </w:style>
  <w:style w:type="paragraph" w:customStyle="1" w:styleId="184">
    <w:name w:val="flType"/>
    <w:basedOn w:val="183"/>
    <w:uiPriority w:val="0"/>
    <w:pPr>
      <w:spacing w:after="284"/>
    </w:pPr>
    <w:rPr>
      <w:rFonts w:eastAsia="宋体"/>
      <w:b w:val="0"/>
    </w:rPr>
  </w:style>
  <w:style w:type="paragraph" w:customStyle="1" w:styleId="185">
    <w:name w:val="kd"/>
    <w:basedOn w:val="148"/>
    <w:uiPriority w:val="0"/>
    <w:pPr>
      <w:ind w:left="720" w:hanging="720"/>
    </w:pPr>
    <w:rPr>
      <w:sz w:val="28"/>
    </w:rPr>
  </w:style>
  <w:style w:type="paragraph" w:customStyle="1" w:styleId="186">
    <w:name w:val="Body text 1"/>
    <w:basedOn w:val="133"/>
    <w:qFormat/>
    <w:uiPriority w:val="0"/>
    <w:pPr>
      <w:tabs>
        <w:tab w:val="left" w:pos="1134"/>
      </w:tabs>
      <w:ind w:hanging="1134"/>
    </w:pPr>
  </w:style>
  <w:style w:type="paragraph" w:customStyle="1" w:styleId="187">
    <w:name w:val="_Style 8"/>
    <w:basedOn w:val="1"/>
    <w:qFormat/>
    <w:uiPriority w:val="0"/>
  </w:style>
  <w:style w:type="character" w:customStyle="1" w:styleId="188">
    <w:name w:val="Date Char"/>
    <w:qFormat/>
    <w:locked/>
    <w:uiPriority w:val="0"/>
    <w:rPr>
      <w:rFonts w:eastAsia="宋体"/>
      <w:b/>
      <w:kern w:val="2"/>
      <w:sz w:val="28"/>
      <w:lang w:val="en-US" w:eastAsia="zh-CN" w:bidi="ar-SA"/>
    </w:rPr>
  </w:style>
  <w:style w:type="paragraph" w:customStyle="1" w:styleId="189">
    <w:name w:val="正文_0"/>
    <w:qFormat/>
    <w:uiPriority w:val="0"/>
    <w:pPr>
      <w:widowControl w:val="0"/>
      <w:jc w:val="both"/>
    </w:pPr>
    <w:rPr>
      <w:rFonts w:ascii="Tahoma" w:hAnsi="Tahoma" w:eastAsia="宋体" w:cs="Tahoma"/>
      <w:kern w:val="2"/>
      <w:sz w:val="21"/>
      <w:szCs w:val="22"/>
      <w:lang w:val="en-US" w:eastAsia="zh-CN" w:bidi="ar-SA"/>
    </w:rPr>
  </w:style>
  <w:style w:type="paragraph" w:customStyle="1" w:styleId="190">
    <w:name w:val="无间隔1"/>
    <w:qFormat/>
    <w:uiPriority w:val="1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0"/>
      <w:lang w:val="en-US" w:eastAsia="zh-CN" w:bidi="ar-SA"/>
    </w:rPr>
  </w:style>
  <w:style w:type="paragraph" w:customStyle="1" w:styleId="191">
    <w:name w:val="列出段落2"/>
    <w:basedOn w:val="1"/>
    <w:unhideWhenUsed/>
    <w:qFormat/>
    <w:uiPriority w:val="34"/>
    <w:pPr>
      <w:ind w:firstLine="420" w:firstLineChars="200"/>
    </w:pPr>
    <w:rPr>
      <w:rFonts w:ascii="Calibri" w:hAnsi="Calibri"/>
      <w:szCs w:val="24"/>
    </w:rPr>
  </w:style>
  <w:style w:type="character" w:customStyle="1" w:styleId="192">
    <w:name w:val="font41"/>
    <w:qFormat/>
    <w:uiPriority w:val="0"/>
    <w:rPr>
      <w:rFonts w:hint="eastAsia" w:ascii="仿宋" w:hAnsi="仿宋" w:eastAsia="仿宋"/>
      <w:color w:val="000000"/>
      <w:sz w:val="24"/>
      <w:szCs w:val="24"/>
      <w:u w:val="none"/>
    </w:rPr>
  </w:style>
  <w:style w:type="character" w:customStyle="1" w:styleId="193">
    <w:name w:val="font0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94">
    <w:name w:val="font21"/>
    <w:basedOn w:val="60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195">
    <w:name w:val="brief1"/>
    <w:basedOn w:val="1"/>
    <w:qFormat/>
    <w:uiPriority w:val="0"/>
    <w:pPr>
      <w:widowControl/>
      <w:jc w:val="left"/>
    </w:pPr>
    <w:rPr>
      <w:rFonts w:ascii="宋体" w:hAnsi="宋体" w:cs="宋体"/>
      <w:color w:val="336699"/>
      <w:kern w:val="0"/>
      <w:sz w:val="24"/>
      <w:szCs w:val="24"/>
    </w:rPr>
  </w:style>
  <w:style w:type="paragraph" w:customStyle="1" w:styleId="196">
    <w:name w:val="列出段落3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sz w:val="24"/>
      <w:szCs w:val="22"/>
    </w:rPr>
  </w:style>
  <w:style w:type="paragraph" w:customStyle="1" w:styleId="197">
    <w:name w:val="Char1 Char Char Char"/>
    <w:basedOn w:val="1"/>
    <w:qFormat/>
    <w:uiPriority w:val="0"/>
    <w:rPr>
      <w:rFonts w:ascii="Tahoma" w:hAnsi="Tahoma"/>
      <w:sz w:val="30"/>
      <w:szCs w:val="30"/>
    </w:rPr>
  </w:style>
  <w:style w:type="paragraph" w:customStyle="1" w:styleId="198">
    <w:name w:val="列出段落4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sz w:val="24"/>
      <w:szCs w:val="22"/>
    </w:rPr>
  </w:style>
  <w:style w:type="character" w:customStyle="1" w:styleId="199">
    <w:name w:val="param-name"/>
    <w:qFormat/>
    <w:uiPriority w:val="0"/>
  </w:style>
  <w:style w:type="character" w:customStyle="1" w:styleId="200">
    <w:name w:val="标准正文 Char"/>
    <w:link w:val="201"/>
    <w:qFormat/>
    <w:uiPriority w:val="0"/>
    <w:rPr>
      <w:szCs w:val="21"/>
    </w:rPr>
  </w:style>
  <w:style w:type="paragraph" w:customStyle="1" w:styleId="201">
    <w:name w:val="标准正文"/>
    <w:basedOn w:val="1"/>
    <w:link w:val="200"/>
    <w:qFormat/>
    <w:uiPriority w:val="0"/>
    <w:pPr>
      <w:suppressAutoHyphens/>
      <w:spacing w:line="360" w:lineRule="auto"/>
      <w:ind w:firstLine="420" w:firstLineChars="200"/>
    </w:pPr>
    <w:rPr>
      <w:rFonts w:asciiTheme="minorHAnsi" w:hAnsiTheme="minorHAnsi" w:eastAsiaTheme="minorEastAsia" w:cstheme="minorBidi"/>
      <w:szCs w:val="21"/>
    </w:rPr>
  </w:style>
  <w:style w:type="character" w:customStyle="1" w:styleId="202">
    <w:name w:val="列出段落 Char"/>
    <w:link w:val="77"/>
    <w:qFormat/>
    <w:locked/>
    <w:uiPriority w:val="0"/>
    <w:rPr>
      <w:rFonts w:ascii="Calibri" w:hAnsi="Calibri" w:eastAsia="宋体" w:cs="Times New Roman"/>
    </w:rPr>
  </w:style>
  <w:style w:type="paragraph" w:customStyle="1" w:styleId="203">
    <w:name w:val="列出段落5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sz w:val="24"/>
      <w:szCs w:val="22"/>
    </w:rPr>
  </w:style>
  <w:style w:type="character" w:customStyle="1" w:styleId="204">
    <w:name w:val="font5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05">
    <w:name w:val="HTML 预设格式 Char"/>
    <w:basedOn w:val="60"/>
    <w:link w:val="52"/>
    <w:qFormat/>
    <w:uiPriority w:val="0"/>
    <w:rPr>
      <w:rFonts w:ascii="宋体" w:hAnsi="宋体" w:eastAsia="宋体" w:cs="Times New Roman"/>
      <w:kern w:val="0"/>
      <w:sz w:val="24"/>
      <w:szCs w:val="24"/>
    </w:rPr>
  </w:style>
  <w:style w:type="paragraph" w:customStyle="1" w:styleId="206">
    <w:name w:val="页眉与页脚"/>
    <w:qFormat/>
    <w:uiPriority w:val="0"/>
    <w:pPr>
      <w:tabs>
        <w:tab w:val="right" w:pos="9020"/>
      </w:tabs>
    </w:pPr>
    <w:rPr>
      <w:rFonts w:ascii="Helvetica" w:hAnsi="Helvetica" w:eastAsia="宋体" w:cs="Arial Unicode MS"/>
      <w:color w:val="000000"/>
      <w:kern w:val="0"/>
      <w:sz w:val="24"/>
      <w:szCs w:val="24"/>
      <w:lang w:val="en-US" w:eastAsia="zh-CN" w:bidi="ar-SA"/>
    </w:rPr>
  </w:style>
  <w:style w:type="paragraph" w:customStyle="1" w:styleId="207">
    <w:name w:val="默认"/>
    <w:qFormat/>
    <w:uiPriority w:val="0"/>
    <w:rPr>
      <w:rFonts w:ascii="Helvetica" w:hAnsi="Helvetica" w:eastAsia="宋体" w:cs="Arial Unicode MS"/>
      <w:color w:val="000000"/>
      <w:kern w:val="0"/>
      <w:sz w:val="22"/>
      <w:szCs w:val="22"/>
      <w:lang w:val="zh-CN" w:eastAsia="zh-CN" w:bidi="ar-SA"/>
    </w:rPr>
  </w:style>
  <w:style w:type="paragraph" w:customStyle="1" w:styleId="208">
    <w:name w:val="列出段落6"/>
    <w:qFormat/>
    <w:uiPriority w:val="0"/>
    <w:pPr>
      <w:widowControl w:val="0"/>
      <w:spacing w:line="360" w:lineRule="auto"/>
      <w:ind w:firstLine="420"/>
      <w:jc w:val="both"/>
    </w:pPr>
    <w:rPr>
      <w:rFonts w:ascii="Calibri" w:hAnsi="Calibri" w:eastAsia="Calibri" w:cs="Calibri"/>
      <w:color w:val="000000"/>
      <w:kern w:val="2"/>
      <w:sz w:val="24"/>
      <w:szCs w:val="24"/>
      <w:lang w:val="en-US" w:eastAsia="zh-CN" w:bidi="ar-SA"/>
    </w:rPr>
  </w:style>
  <w:style w:type="paragraph" w:customStyle="1" w:styleId="209">
    <w:name w:val="表头_5-"/>
    <w:qFormat/>
    <w:uiPriority w:val="0"/>
    <w:pPr>
      <w:widowControl w:val="0"/>
      <w:spacing w:line="260" w:lineRule="exact"/>
      <w:jc w:val="center"/>
    </w:pPr>
    <w:rPr>
      <w:rFonts w:ascii="Arial Unicode MS" w:hAnsi="Arial Unicode MS" w:eastAsia="Arial" w:cs="Arial Unicode MS"/>
      <w:color w:val="000000"/>
      <w:kern w:val="0"/>
      <w:sz w:val="18"/>
      <w:szCs w:val="18"/>
      <w:lang w:val="en-US" w:eastAsia="zh-CN" w:bidi="ar-SA"/>
    </w:rPr>
  </w:style>
  <w:style w:type="paragraph" w:customStyle="1" w:styleId="210">
    <w:name w:val="表L_5-"/>
    <w:qFormat/>
    <w:uiPriority w:val="0"/>
    <w:pPr>
      <w:widowControl w:val="0"/>
      <w:spacing w:line="260" w:lineRule="exact"/>
    </w:pPr>
    <w:rPr>
      <w:rFonts w:ascii="Arial Unicode MS" w:hAnsi="Arial Unicode MS" w:eastAsia="Arial" w:cs="Arial Unicode MS"/>
      <w:color w:val="000000"/>
      <w:kern w:val="0"/>
      <w:sz w:val="18"/>
      <w:szCs w:val="18"/>
      <w:lang w:val="en-US" w:eastAsia="zh-CN" w:bidi="ar-SA"/>
    </w:rPr>
  </w:style>
  <w:style w:type="paragraph" w:customStyle="1" w:styleId="211">
    <w:name w:val="表M_5-"/>
    <w:qFormat/>
    <w:uiPriority w:val="0"/>
    <w:pPr>
      <w:widowControl w:val="0"/>
      <w:spacing w:line="260" w:lineRule="exact"/>
      <w:jc w:val="center"/>
    </w:pPr>
    <w:rPr>
      <w:rFonts w:ascii="Arial" w:hAnsi="Arial" w:eastAsia="宋体" w:cs="Arial Unicode MS"/>
      <w:color w:val="FF0000"/>
      <w:kern w:val="0"/>
      <w:sz w:val="18"/>
      <w:szCs w:val="18"/>
      <w:lang w:val="en-US" w:eastAsia="zh-CN" w:bidi="ar-SA"/>
    </w:rPr>
  </w:style>
  <w:style w:type="character" w:customStyle="1" w:styleId="212">
    <w:name w:val="apple-style-span"/>
    <w:basedOn w:val="60"/>
    <w:qFormat/>
    <w:uiPriority w:val="0"/>
  </w:style>
  <w:style w:type="paragraph" w:customStyle="1" w:styleId="213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4"/>
      <w:lang w:val="en-US" w:eastAsia="zh-CN" w:bidi="ar-SA"/>
    </w:rPr>
  </w:style>
  <w:style w:type="paragraph" w:customStyle="1" w:styleId="214">
    <w:name w:val="_Style 2"/>
    <w:basedOn w:val="1"/>
    <w:qFormat/>
    <w:uiPriority w:val="34"/>
    <w:pPr>
      <w:ind w:firstLine="420" w:firstLineChars="200"/>
    </w:pPr>
    <w:rPr>
      <w:rFonts w:ascii="Calibri" w:hAnsi="Calibri"/>
      <w:szCs w:val="24"/>
    </w:rPr>
  </w:style>
  <w:style w:type="paragraph" w:customStyle="1" w:styleId="215">
    <w:name w:val="列出段落7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sz w:val="24"/>
      <w:szCs w:val="22"/>
    </w:rPr>
  </w:style>
  <w:style w:type="character" w:customStyle="1" w:styleId="216">
    <w:name w:val="font11"/>
    <w:basedOn w:val="6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7">
    <w:name w:val="font7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18">
    <w:name w:val="font6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219">
    <w:name w:val="图1"/>
    <w:basedOn w:val="1"/>
    <w:next w:val="1"/>
    <w:qFormat/>
    <w:uiPriority w:val="0"/>
    <w:pPr>
      <w:tabs>
        <w:tab w:val="left" w:pos="425"/>
        <w:tab w:val="left" w:pos="777"/>
      </w:tabs>
      <w:spacing w:beforeLines="50" w:afterLines="100" w:line="360" w:lineRule="auto"/>
      <w:ind w:left="2210" w:hanging="748"/>
      <w:jc w:val="center"/>
    </w:pPr>
    <w:rPr>
      <w:kern w:val="0"/>
      <w:sz w:val="24"/>
      <w:szCs w:val="24"/>
    </w:rPr>
  </w:style>
  <w:style w:type="paragraph" w:customStyle="1" w:styleId="220">
    <w:name w:val="表 靠左"/>
    <w:basedOn w:val="1"/>
    <w:qFormat/>
    <w:uiPriority w:val="0"/>
    <w:pPr>
      <w:jc w:val="left"/>
    </w:pPr>
    <w:rPr>
      <w:szCs w:val="21"/>
    </w:rPr>
  </w:style>
  <w:style w:type="paragraph" w:customStyle="1" w:styleId="221">
    <w:name w:val="Char Char Char Char1"/>
    <w:basedOn w:val="1"/>
    <w:qFormat/>
    <w:uiPriority w:val="0"/>
    <w:pPr>
      <w:widowControl/>
      <w:spacing w:after="160" w:line="240" w:lineRule="exact"/>
      <w:jc w:val="left"/>
    </w:pPr>
    <w:rPr>
      <w:kern w:val="0"/>
      <w:sz w:val="24"/>
      <w:szCs w:val="24"/>
    </w:rPr>
  </w:style>
  <w:style w:type="paragraph" w:customStyle="1" w:styleId="222">
    <w:name w:val="Default Paragraph Char Char Char Char"/>
    <w:basedOn w:val="1"/>
    <w:next w:val="1"/>
    <w:qFormat/>
    <w:uiPriority w:val="0"/>
    <w:pPr>
      <w:widowControl/>
      <w:spacing w:line="360" w:lineRule="auto"/>
      <w:jc w:val="left"/>
    </w:pPr>
    <w:rPr>
      <w:rFonts w:ascii="仿宋_GB2312" w:eastAsia="仿宋_GB2312"/>
      <w:kern w:val="0"/>
      <w:sz w:val="32"/>
      <w:lang w:eastAsia="en-US"/>
    </w:rPr>
  </w:style>
  <w:style w:type="paragraph" w:customStyle="1" w:styleId="223">
    <w:name w:val="Char Char2 Char"/>
    <w:basedOn w:val="1"/>
    <w:qFormat/>
    <w:uiPriority w:val="0"/>
    <w:rPr>
      <w:rFonts w:ascii="Tahoma" w:hAnsi="Tahoma"/>
      <w:sz w:val="24"/>
      <w:szCs w:val="24"/>
    </w:rPr>
  </w:style>
  <w:style w:type="paragraph" w:customStyle="1" w:styleId="224">
    <w:name w:val="样式 宋体 五号 行距: 单倍行距"/>
    <w:basedOn w:val="1"/>
    <w:uiPriority w:val="0"/>
    <w:pPr>
      <w:adjustRightInd w:val="0"/>
      <w:jc w:val="left"/>
      <w:textAlignment w:val="baseline"/>
    </w:pPr>
    <w:rPr>
      <w:rFonts w:ascii="宋体" w:hAnsi="宋体"/>
      <w:kern w:val="0"/>
    </w:rPr>
  </w:style>
  <w:style w:type="paragraph" w:customStyle="1" w:styleId="225">
    <w:name w:val="Char3"/>
    <w:basedOn w:val="1"/>
    <w:qFormat/>
    <w:uiPriority w:val="0"/>
    <w:rPr>
      <w:rFonts w:ascii="Tahoma" w:hAnsi="Tahoma"/>
      <w:sz w:val="24"/>
    </w:rPr>
  </w:style>
  <w:style w:type="paragraph" w:customStyle="1" w:styleId="226">
    <w:name w:val="正文无缩进"/>
    <w:basedOn w:val="1"/>
    <w:qFormat/>
    <w:uiPriority w:val="0"/>
    <w:pPr>
      <w:spacing w:line="600" w:lineRule="exact"/>
    </w:pPr>
    <w:rPr>
      <w:rFonts w:ascii="仿宋_GB2312" w:hAnsi="宋体" w:eastAsia="仿宋_GB2312"/>
      <w:sz w:val="31"/>
      <w:szCs w:val="28"/>
    </w:rPr>
  </w:style>
  <w:style w:type="character" w:customStyle="1" w:styleId="227">
    <w:name w:val="正文文本 (2) + 10 pt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20"/>
      <w:szCs w:val="20"/>
      <w:u w:val="none"/>
      <w:lang w:val="zh-TW" w:eastAsia="zh-TW" w:bidi="zh-TW"/>
    </w:rPr>
  </w:style>
  <w:style w:type="paragraph" w:customStyle="1" w:styleId="228">
    <w:name w:val="表格1"/>
    <w:basedOn w:val="1"/>
    <w:link w:val="229"/>
    <w:qFormat/>
    <w:uiPriority w:val="0"/>
    <w:pPr>
      <w:autoSpaceDE w:val="0"/>
      <w:autoSpaceDN w:val="0"/>
      <w:adjustRightInd w:val="0"/>
      <w:jc w:val="left"/>
    </w:pPr>
    <w:rPr>
      <w:rFonts w:ascii="宋体" w:hAnsi="宋体"/>
      <w:sz w:val="24"/>
      <w:szCs w:val="21"/>
      <w:lang w:val="zh-CN" w:eastAsia="zh-CN"/>
    </w:rPr>
  </w:style>
  <w:style w:type="character" w:customStyle="1" w:styleId="229">
    <w:name w:val="表格1 字符"/>
    <w:link w:val="228"/>
    <w:qFormat/>
    <w:uiPriority w:val="0"/>
    <w:rPr>
      <w:rFonts w:ascii="宋体" w:hAnsi="宋体" w:eastAsia="宋体" w:cs="Times New Roman"/>
      <w:sz w:val="24"/>
      <w:szCs w:val="21"/>
      <w:lang w:val="zh-CN" w:eastAsia="zh-CN"/>
    </w:rPr>
  </w:style>
  <w:style w:type="character" w:customStyle="1" w:styleId="230">
    <w:name w:val="font31"/>
    <w:basedOn w:val="6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</Words>
  <Characters>72</Characters>
  <Lines>1</Lines>
  <Paragraphs>1</Paragraphs>
  <TotalTime>0</TotalTime>
  <ScaleCrop>false</ScaleCrop>
  <LinksUpToDate>false</LinksUpToDate>
  <CharactersWithSpaces>83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2016-04-08T05:36:00Z</dcterms:created>
  <dc:creator>NTKO</dc:creator>
  <cp:lastModifiedBy>聪聪</cp:lastModifiedBy>
  <dcterms:modified xsi:type="dcterms:W3CDTF">2021-04-06T08:28:13Z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2DD508DE6222471D9B5A4963C7B03265</vt:lpwstr>
  </property>
</Properties>
</file>