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服务需求</w:t>
      </w:r>
    </w:p>
    <w:p>
      <w:pPr>
        <w:spacing w:line="360" w:lineRule="auto"/>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（仅供参考）</w:t>
      </w:r>
    </w:p>
    <w:p>
      <w:pPr>
        <w:spacing w:line="360" w:lineRule="auto"/>
        <w:ind w:firstLine="437"/>
        <w:rPr>
          <w:rFonts w:hint="eastAsia" w:ascii="宋体" w:hAnsi="宋体" w:eastAsia="宋体"/>
          <w:b/>
          <w:sz w:val="24"/>
          <w:szCs w:val="18"/>
        </w:rPr>
      </w:pPr>
      <w:r>
        <w:rPr>
          <w:rFonts w:hint="eastAsia" w:ascii="宋体" w:hAnsi="宋体" w:eastAsia="宋体"/>
          <w:b/>
          <w:sz w:val="24"/>
          <w:szCs w:val="18"/>
        </w:rPr>
        <w:t>一、采购需求前附表</w:t>
      </w:r>
    </w:p>
    <w:tbl>
      <w:tblPr>
        <w:tblStyle w:val="1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5"/>
        <w:gridCol w:w="2031"/>
        <w:gridCol w:w="5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1"/>
              <w:pBdr>
                <w:bottom w:val="none" w:color="auto" w:sz="0" w:space="0"/>
              </w:pBdr>
              <w:tabs>
                <w:tab w:val="clear" w:pos="4153"/>
                <w:tab w:val="clear" w:pos="8306"/>
              </w:tabs>
              <w:adjustRightInd/>
              <w:spacing w:line="240" w:lineRule="auto"/>
              <w:textAlignment w:val="auto"/>
              <w:rPr>
                <w:rFonts w:ascii="宋体" w:hAnsi="宋体" w:eastAsia="宋体"/>
                <w:b/>
                <w:kern w:val="2"/>
              </w:rPr>
            </w:pPr>
            <w:r>
              <w:rPr>
                <w:rFonts w:hint="eastAsia" w:ascii="宋体" w:hAnsi="宋体" w:eastAsia="宋体"/>
                <w:b/>
                <w:kern w:val="2"/>
              </w:rPr>
              <w:t>序号</w:t>
            </w:r>
          </w:p>
        </w:tc>
        <w:tc>
          <w:tcPr>
            <w:tcW w:w="1192" w:type="pct"/>
            <w:vAlign w:val="center"/>
          </w:tcPr>
          <w:p>
            <w:pPr>
              <w:pStyle w:val="42"/>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条款名称</w:t>
            </w:r>
          </w:p>
        </w:tc>
        <w:tc>
          <w:tcPr>
            <w:tcW w:w="3217" w:type="pct"/>
            <w:vAlign w:val="center"/>
          </w:tcPr>
          <w:p>
            <w:pPr>
              <w:pStyle w:val="42"/>
              <w:widowControl w:val="0"/>
              <w:spacing w:before="0" w:beforeAutospacing="0" w:after="0" w:afterAutospacing="0" w:line="360" w:lineRule="auto"/>
              <w:rPr>
                <w:rFonts w:ascii="宋体" w:hAnsi="宋体" w:eastAsia="宋体"/>
                <w:bCs w:val="0"/>
                <w:sz w:val="24"/>
              </w:rPr>
            </w:pPr>
            <w:r>
              <w:rPr>
                <w:rFonts w:hint="eastAsia" w:ascii="宋体" w:hAnsi="宋体" w:eastAsia="宋体"/>
                <w:bCs w:val="0"/>
                <w:sz w:val="24"/>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1"/>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1</w:t>
            </w:r>
          </w:p>
        </w:tc>
        <w:tc>
          <w:tcPr>
            <w:tcW w:w="1192" w:type="pct"/>
            <w:vAlign w:val="center"/>
          </w:tcPr>
          <w:p>
            <w:pPr>
              <w:pStyle w:val="42"/>
              <w:widowControl w:val="0"/>
              <w:spacing w:before="0" w:beforeAutospacing="0" w:after="0" w:afterAutospacing="0" w:line="360" w:lineRule="auto"/>
              <w:rPr>
                <w:rFonts w:ascii="宋体" w:hAnsi="宋体" w:eastAsia="宋体" w:cs="@仿宋_GB2312"/>
                <w:b w:val="0"/>
                <w:bCs/>
                <w:color w:val="auto"/>
                <w:kern w:val="0"/>
                <w:sz w:val="24"/>
                <w:szCs w:val="28"/>
                <w:lang w:val="en-US" w:eastAsia="zh-CN" w:bidi="ar-SA"/>
              </w:rPr>
            </w:pPr>
            <w:r>
              <w:rPr>
                <w:rFonts w:hint="eastAsia" w:ascii="宋体" w:hAnsi="宋体" w:eastAsia="宋体"/>
                <w:b w:val="0"/>
                <w:bCs/>
                <w:color w:val="auto"/>
                <w:sz w:val="24"/>
              </w:rPr>
              <w:t>付款方式</w:t>
            </w:r>
          </w:p>
        </w:tc>
        <w:tc>
          <w:tcPr>
            <w:tcW w:w="3217" w:type="pct"/>
            <w:vAlign w:val="center"/>
          </w:tcPr>
          <w:p>
            <w:pPr>
              <w:spacing w:line="360" w:lineRule="auto"/>
              <w:jc w:val="left"/>
              <w:rPr>
                <w:rFonts w:ascii="宋体" w:hAnsi="宋体" w:eastAsia="宋体" w:cs="@仿宋_GB2312"/>
                <w:b w:val="0"/>
                <w:bCs/>
                <w:color w:val="auto"/>
                <w:kern w:val="2"/>
                <w:sz w:val="24"/>
                <w:u w:val="single"/>
                <w:lang w:val="en-US" w:eastAsia="zh-CN" w:bidi="ar-SA"/>
              </w:rPr>
            </w:pPr>
            <w:r>
              <w:rPr>
                <w:rFonts w:hint="eastAsia" w:ascii="宋体" w:hAnsi="宋体" w:eastAsia="宋体" w:cs="Arial"/>
                <w:b w:val="0"/>
                <w:bCs/>
                <w:color w:val="auto"/>
                <w:sz w:val="24"/>
              </w:rPr>
              <w:t>根据每个月的实际供货</w:t>
            </w:r>
            <w:r>
              <w:rPr>
                <w:rFonts w:hint="eastAsia" w:ascii="宋体" w:hAnsi="宋体" w:eastAsia="宋体" w:cs="Arial"/>
                <w:b w:val="0"/>
                <w:bCs/>
                <w:color w:val="auto"/>
                <w:sz w:val="24"/>
                <w:lang w:val="en-US" w:eastAsia="zh-CN"/>
              </w:rPr>
              <w:t>量及成交价据实结算。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1"/>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2</w:t>
            </w:r>
          </w:p>
        </w:tc>
        <w:tc>
          <w:tcPr>
            <w:tcW w:w="1192" w:type="pct"/>
            <w:vAlign w:val="center"/>
          </w:tcPr>
          <w:p>
            <w:pPr>
              <w:pStyle w:val="42"/>
              <w:widowControl w:val="0"/>
              <w:spacing w:before="0" w:beforeAutospacing="0" w:after="0" w:afterAutospacing="0" w:line="360" w:lineRule="auto"/>
              <w:rPr>
                <w:rFonts w:ascii="宋体" w:hAnsi="宋体" w:eastAsia="宋体" w:cs="@仿宋_GB2312"/>
                <w:b w:val="0"/>
                <w:bCs/>
                <w:color w:val="auto"/>
                <w:kern w:val="0"/>
                <w:sz w:val="24"/>
                <w:szCs w:val="28"/>
                <w:lang w:val="en-US" w:eastAsia="zh-CN" w:bidi="ar-SA"/>
              </w:rPr>
            </w:pPr>
            <w:r>
              <w:rPr>
                <w:rFonts w:hint="eastAsia" w:ascii="宋体" w:hAnsi="宋体" w:eastAsia="宋体"/>
                <w:b w:val="0"/>
                <w:bCs/>
                <w:color w:val="auto"/>
                <w:sz w:val="24"/>
              </w:rPr>
              <w:t>服务地点</w:t>
            </w:r>
          </w:p>
        </w:tc>
        <w:tc>
          <w:tcPr>
            <w:tcW w:w="3217" w:type="pct"/>
            <w:vAlign w:val="center"/>
          </w:tcPr>
          <w:p>
            <w:pPr>
              <w:spacing w:line="360" w:lineRule="auto"/>
              <w:rPr>
                <w:rFonts w:hint="eastAsia" w:ascii="宋体" w:hAnsi="宋体" w:eastAsia="宋体"/>
                <w:sz w:val="24"/>
                <w:szCs w:val="18"/>
                <w:u w:val="none"/>
                <w:lang w:val="en-US" w:eastAsia="zh-CN"/>
              </w:rPr>
            </w:pPr>
            <w:r>
              <w:rPr>
                <w:rFonts w:hint="eastAsia" w:ascii="宋体" w:hAnsi="宋体" w:eastAsia="宋体"/>
                <w:sz w:val="24"/>
                <w:szCs w:val="18"/>
                <w:u w:val="none"/>
                <w:lang w:eastAsia="zh-CN"/>
              </w:rPr>
              <w:t>合肥市妇幼保健院，采购人指定地点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1"/>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宋体" w:hAnsi="宋体" w:eastAsia="宋体"/>
                <w:bCs/>
                <w:kern w:val="2"/>
              </w:rPr>
              <w:t>3</w:t>
            </w:r>
          </w:p>
        </w:tc>
        <w:tc>
          <w:tcPr>
            <w:tcW w:w="1192" w:type="pct"/>
            <w:vAlign w:val="center"/>
          </w:tcPr>
          <w:p>
            <w:pPr>
              <w:pStyle w:val="42"/>
              <w:widowControl w:val="0"/>
              <w:spacing w:before="0" w:beforeAutospacing="0" w:after="0" w:afterAutospacing="0" w:line="360" w:lineRule="auto"/>
              <w:rPr>
                <w:rFonts w:ascii="宋体" w:hAnsi="宋体" w:eastAsia="宋体" w:cs="@仿宋_GB2312"/>
                <w:b w:val="0"/>
                <w:bCs/>
                <w:color w:val="auto"/>
                <w:kern w:val="0"/>
                <w:sz w:val="24"/>
                <w:szCs w:val="28"/>
                <w:highlight w:val="none"/>
                <w:lang w:val="en-US" w:eastAsia="zh-CN" w:bidi="ar-SA"/>
              </w:rPr>
            </w:pPr>
            <w:r>
              <w:rPr>
                <w:rFonts w:hint="eastAsia" w:ascii="宋体" w:hAnsi="宋体" w:eastAsia="宋体"/>
                <w:b w:val="0"/>
                <w:bCs/>
                <w:color w:val="auto"/>
                <w:sz w:val="24"/>
                <w:highlight w:val="none"/>
              </w:rPr>
              <w:t>服务期限</w:t>
            </w:r>
          </w:p>
        </w:tc>
        <w:tc>
          <w:tcPr>
            <w:tcW w:w="3217" w:type="pct"/>
            <w:vAlign w:val="center"/>
          </w:tcPr>
          <w:p>
            <w:pPr>
              <w:spacing w:line="360" w:lineRule="auto"/>
              <w:rPr>
                <w:rFonts w:hint="eastAsia" w:ascii="宋体" w:hAnsi="宋体" w:eastAsia="宋体"/>
                <w:sz w:val="24"/>
                <w:szCs w:val="18"/>
                <w:u w:val="none"/>
                <w:lang w:val="en-US" w:eastAsia="zh-CN"/>
              </w:rPr>
            </w:pPr>
            <w:r>
              <w:rPr>
                <w:rFonts w:hint="eastAsia" w:ascii="宋体" w:hAnsi="宋体" w:eastAsia="宋体"/>
                <w:sz w:val="24"/>
                <w:szCs w:val="18"/>
                <w:u w:val="none"/>
                <w:lang w:eastAsia="zh-CN"/>
              </w:rPr>
              <w:t>合同生效后1年内按采购人要求分批供货，每批货物接采购人通知后，按采购人要求在3个工作日内完成供货。1年期满后，在年度预算能保障的前提下，合同甲乙双方无异议，可续签后2年合同，续签合同1年1签，中标综合单价不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1"/>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ascii="宋体" w:hAnsi="宋体" w:eastAsia="宋体"/>
                <w:bCs/>
                <w:kern w:val="2"/>
              </w:rPr>
              <w:t>4</w:t>
            </w:r>
          </w:p>
        </w:tc>
        <w:tc>
          <w:tcPr>
            <w:tcW w:w="1192" w:type="pct"/>
            <w:vAlign w:val="center"/>
          </w:tcPr>
          <w:p>
            <w:pPr>
              <w:spacing w:line="360" w:lineRule="auto"/>
              <w:jc w:val="center"/>
              <w:rPr>
                <w:rFonts w:ascii="宋体" w:hAnsi="宋体" w:eastAsia="宋体" w:cs="@仿宋_GB2312"/>
                <w:b w:val="0"/>
                <w:bCs/>
                <w:color w:val="auto"/>
                <w:kern w:val="2"/>
                <w:sz w:val="24"/>
                <w:lang w:val="en-US" w:eastAsia="zh-CN" w:bidi="ar-SA"/>
              </w:rPr>
            </w:pPr>
            <w:r>
              <w:rPr>
                <w:rFonts w:hint="eastAsia" w:ascii="宋体" w:hAnsi="宋体" w:eastAsia="宋体"/>
                <w:b w:val="0"/>
                <w:bCs/>
                <w:color w:val="auto"/>
                <w:kern w:val="0"/>
                <w:sz w:val="24"/>
                <w:szCs w:val="28"/>
              </w:rPr>
              <w:t>免费质保期</w:t>
            </w:r>
          </w:p>
        </w:tc>
        <w:tc>
          <w:tcPr>
            <w:tcW w:w="3217" w:type="pct"/>
            <w:vAlign w:val="center"/>
          </w:tcPr>
          <w:p>
            <w:pPr>
              <w:spacing w:line="360" w:lineRule="auto"/>
              <w:rPr>
                <w:rFonts w:ascii="宋体" w:hAnsi="宋体" w:eastAsia="宋体" w:cs="@仿宋_GB2312"/>
                <w:b w:val="0"/>
                <w:bCs/>
                <w:color w:val="auto"/>
                <w:kern w:val="2"/>
                <w:sz w:val="24"/>
                <w:u w:val="single"/>
                <w:lang w:val="en-US" w:eastAsia="zh-CN" w:bidi="ar-SA"/>
              </w:rPr>
            </w:pPr>
            <w:r>
              <w:rPr>
                <w:rFonts w:hint="eastAsia" w:ascii="宋体" w:hAnsi="宋体" w:eastAsia="宋体"/>
                <w:b w:val="0"/>
                <w:bCs/>
                <w:color w:val="auto"/>
                <w:kern w:val="0"/>
                <w:sz w:val="24"/>
                <w:szCs w:val="28"/>
              </w:rPr>
              <w:t>每批次供货</w:t>
            </w:r>
            <w:r>
              <w:rPr>
                <w:rFonts w:hint="eastAsia" w:ascii="宋体" w:hAnsi="宋体" w:eastAsia="宋体"/>
                <w:b w:val="0"/>
                <w:bCs/>
                <w:color w:val="auto"/>
                <w:kern w:val="0"/>
                <w:sz w:val="24"/>
                <w:szCs w:val="28"/>
                <w:lang w:val="en-US" w:eastAsia="zh-CN"/>
              </w:rPr>
              <w:t>完成，</w:t>
            </w:r>
            <w:r>
              <w:rPr>
                <w:rFonts w:hint="eastAsia" w:ascii="宋体" w:hAnsi="宋体" w:eastAsia="宋体"/>
                <w:b w:val="0"/>
                <w:bCs/>
                <w:color w:val="auto"/>
                <w:kern w:val="0"/>
                <w:sz w:val="24"/>
                <w:szCs w:val="28"/>
              </w:rPr>
              <w:t>自验收合格之日起有效期不少于一年。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1"/>
              <w:pBdr>
                <w:bottom w:val="none" w:color="auto" w:sz="0" w:space="0"/>
              </w:pBdr>
              <w:tabs>
                <w:tab w:val="clear" w:pos="4153"/>
                <w:tab w:val="clear" w:pos="8306"/>
              </w:tabs>
              <w:adjustRightInd/>
              <w:spacing w:line="240" w:lineRule="auto"/>
              <w:textAlignment w:val="auto"/>
              <w:rPr>
                <w:rFonts w:ascii="宋体" w:hAnsi="宋体" w:eastAsia="宋体"/>
                <w:bCs/>
                <w:kern w:val="2"/>
              </w:rPr>
            </w:pPr>
            <w:r>
              <w:rPr>
                <w:rFonts w:hint="eastAsia" w:asciiTheme="majorEastAsia" w:hAnsiTheme="majorEastAsia" w:eastAsiaTheme="majorEastAsia"/>
                <w:bCs/>
                <w:kern w:val="2"/>
              </w:rPr>
              <w:t>5</w:t>
            </w:r>
          </w:p>
        </w:tc>
        <w:tc>
          <w:tcPr>
            <w:tcW w:w="1192" w:type="pct"/>
            <w:vAlign w:val="center"/>
          </w:tcPr>
          <w:p>
            <w:pPr>
              <w:spacing w:line="360" w:lineRule="auto"/>
              <w:jc w:val="center"/>
              <w:rPr>
                <w:rFonts w:ascii="宋体" w:hAnsi="宋体" w:eastAsia="宋体" w:cs="@仿宋_GB2312"/>
                <w:b w:val="0"/>
                <w:bCs/>
                <w:color w:val="auto"/>
                <w:kern w:val="2"/>
                <w:sz w:val="24"/>
                <w:lang w:val="en-US" w:eastAsia="zh-CN" w:bidi="ar-SA"/>
              </w:rPr>
            </w:pPr>
            <w:r>
              <w:rPr>
                <w:rFonts w:hint="eastAsia" w:ascii="宋体" w:hAnsi="宋体" w:eastAsia="宋体"/>
                <w:b/>
                <w:bCs w:val="0"/>
                <w:i w:val="0"/>
                <w:iCs w:val="0"/>
                <w:color w:val="auto"/>
                <w:kern w:val="0"/>
                <w:sz w:val="24"/>
                <w:szCs w:val="28"/>
              </w:rPr>
              <w:t>医疗器械注册证</w:t>
            </w:r>
          </w:p>
        </w:tc>
        <w:tc>
          <w:tcPr>
            <w:tcW w:w="3217" w:type="pct"/>
            <w:vAlign w:val="center"/>
          </w:tcPr>
          <w:p>
            <w:pPr>
              <w:spacing w:line="360" w:lineRule="auto"/>
              <w:rPr>
                <w:rFonts w:cs="@仿宋_GB2312" w:asciiTheme="minorEastAsia" w:hAnsiTheme="minorEastAsia" w:eastAsiaTheme="minorEastAsia"/>
                <w:b w:val="0"/>
                <w:bCs/>
                <w:color w:val="auto"/>
                <w:kern w:val="2"/>
                <w:sz w:val="24"/>
                <w:lang w:val="en-US" w:eastAsia="zh-CN" w:bidi="ar-SA"/>
              </w:rPr>
            </w:pPr>
            <w:r>
              <w:rPr>
                <w:rFonts w:hint="eastAsia" w:ascii="宋体" w:hAnsi="宋体" w:eastAsia="宋体"/>
                <w:b/>
                <w:bCs w:val="0"/>
                <w:color w:val="auto"/>
                <w:kern w:val="0"/>
                <w:sz w:val="24"/>
                <w:szCs w:val="28"/>
                <w:lang w:val="en-US" w:eastAsia="zh-CN"/>
              </w:rPr>
              <w:t>响应</w:t>
            </w:r>
            <w:r>
              <w:rPr>
                <w:rFonts w:hint="eastAsia" w:ascii="宋体" w:hAnsi="宋体" w:eastAsia="宋体"/>
                <w:b/>
                <w:bCs w:val="0"/>
                <w:color w:val="auto"/>
                <w:kern w:val="0"/>
                <w:sz w:val="24"/>
                <w:szCs w:val="28"/>
              </w:rPr>
              <w:t>文件中提供相应的证书扫描件，否则</w:t>
            </w:r>
            <w:r>
              <w:rPr>
                <w:rFonts w:hint="eastAsia" w:ascii="宋体" w:hAnsi="宋体" w:eastAsia="宋体"/>
                <w:b/>
                <w:bCs w:val="0"/>
                <w:color w:val="auto"/>
                <w:kern w:val="0"/>
                <w:sz w:val="24"/>
                <w:szCs w:val="28"/>
                <w:lang w:val="en-US" w:eastAsia="zh-CN"/>
              </w:rPr>
              <w:t>响应</w:t>
            </w:r>
            <w:r>
              <w:rPr>
                <w:rFonts w:hint="eastAsia" w:ascii="宋体" w:hAnsi="宋体" w:eastAsia="宋体"/>
                <w:b/>
                <w:bCs w:val="0"/>
                <w:color w:val="auto"/>
                <w:kern w:val="0"/>
                <w:sz w:val="24"/>
                <w:szCs w:val="28"/>
              </w:rPr>
              <w:t>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1"/>
              <w:pBdr>
                <w:bottom w:val="none" w:color="auto" w:sz="0" w:space="0"/>
              </w:pBdr>
              <w:tabs>
                <w:tab w:val="clear" w:pos="4153"/>
                <w:tab w:val="clear" w:pos="8306"/>
              </w:tabs>
              <w:adjustRightInd/>
              <w:spacing w:line="240" w:lineRule="auto"/>
              <w:textAlignment w:val="auto"/>
              <w:rPr>
                <w:rFonts w:asciiTheme="majorEastAsia" w:hAnsiTheme="majorEastAsia" w:eastAsiaTheme="majorEastAsia"/>
                <w:bCs/>
                <w:kern w:val="2"/>
              </w:rPr>
            </w:pPr>
            <w:r>
              <w:rPr>
                <w:rFonts w:ascii="宋体" w:hAnsi="宋体" w:eastAsia="宋体"/>
                <w:bCs/>
                <w:kern w:val="2"/>
              </w:rPr>
              <w:t>6</w:t>
            </w:r>
          </w:p>
        </w:tc>
        <w:tc>
          <w:tcPr>
            <w:tcW w:w="1192" w:type="pct"/>
            <w:vAlign w:val="center"/>
          </w:tcPr>
          <w:p>
            <w:pPr>
              <w:pStyle w:val="42"/>
              <w:widowControl w:val="0"/>
              <w:spacing w:before="0" w:beforeAutospacing="0" w:after="0" w:afterAutospacing="0" w:line="360" w:lineRule="auto"/>
              <w:rPr>
                <w:rFonts w:ascii="宋体" w:hAnsi="宋体" w:eastAsia="宋体" w:cs="@仿宋_GB2312"/>
                <w:b w:val="0"/>
                <w:bCs/>
                <w:color w:val="auto"/>
                <w:kern w:val="0"/>
                <w:sz w:val="24"/>
                <w:szCs w:val="28"/>
                <w:lang w:val="en-US" w:eastAsia="zh-CN" w:bidi="ar-SA"/>
              </w:rPr>
            </w:pPr>
            <w:r>
              <w:rPr>
                <w:rFonts w:hint="eastAsia" w:ascii="宋体" w:hAnsi="宋体" w:eastAsia="宋体"/>
                <w:b w:val="0"/>
                <w:bCs/>
                <w:color w:val="auto"/>
                <w:sz w:val="24"/>
              </w:rPr>
              <w:t>本项目采购标的所属行业</w:t>
            </w:r>
          </w:p>
        </w:tc>
        <w:tc>
          <w:tcPr>
            <w:tcW w:w="3217" w:type="pct"/>
            <w:vAlign w:val="center"/>
          </w:tcPr>
          <w:p>
            <w:pPr>
              <w:pStyle w:val="42"/>
              <w:widowControl w:val="0"/>
              <w:spacing w:before="0" w:beforeAutospacing="0" w:after="0" w:afterAutospacing="0" w:line="360" w:lineRule="auto"/>
              <w:jc w:val="both"/>
              <w:rPr>
                <w:rFonts w:ascii="宋体" w:hAnsi="宋体" w:eastAsia="宋体" w:cs="@仿宋_GB2312"/>
                <w:b w:val="0"/>
                <w:bCs/>
                <w:color w:val="auto"/>
                <w:kern w:val="0"/>
                <w:sz w:val="24"/>
                <w:szCs w:val="28"/>
                <w:lang w:val="en-US" w:eastAsia="zh-CN" w:bidi="ar-SA"/>
              </w:rPr>
            </w:pPr>
            <w:r>
              <w:rPr>
                <w:rFonts w:hint="eastAsia" w:ascii="宋体" w:hAnsi="宋体" w:eastAsia="宋体"/>
                <w:b w:val="0"/>
                <w:bCs/>
                <w:color w:val="auto"/>
                <w:sz w:val="24"/>
              </w:rPr>
              <w:t>批发业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590" w:type="pct"/>
            <w:vAlign w:val="center"/>
          </w:tcPr>
          <w:p>
            <w:pPr>
              <w:pStyle w:val="41"/>
              <w:pBdr>
                <w:bottom w:val="none" w:color="auto" w:sz="0" w:space="0"/>
              </w:pBdr>
              <w:tabs>
                <w:tab w:val="clear" w:pos="4153"/>
                <w:tab w:val="clear" w:pos="8306"/>
              </w:tabs>
              <w:adjustRightInd/>
              <w:spacing w:line="240" w:lineRule="auto"/>
              <w:textAlignment w:val="auto"/>
              <w:rPr>
                <w:rFonts w:hint="eastAsia" w:ascii="宋体" w:hAnsi="宋体" w:eastAsia="宋体"/>
                <w:bCs/>
                <w:kern w:val="2"/>
                <w:lang w:val="en-US" w:eastAsia="zh-CN"/>
              </w:rPr>
            </w:pPr>
            <w:bookmarkStart w:id="0" w:name="_Hlk16461016"/>
            <w:r>
              <w:rPr>
                <w:rFonts w:hint="eastAsia" w:ascii="宋体" w:hAnsi="宋体" w:eastAsia="宋体"/>
                <w:bCs/>
                <w:kern w:val="2"/>
                <w:lang w:val="en-US" w:eastAsia="zh-CN"/>
              </w:rPr>
              <w:t>7</w:t>
            </w:r>
          </w:p>
        </w:tc>
        <w:tc>
          <w:tcPr>
            <w:tcW w:w="1192" w:type="pct"/>
            <w:vAlign w:val="center"/>
          </w:tcPr>
          <w:p>
            <w:pPr>
              <w:pStyle w:val="42"/>
              <w:widowControl w:val="0"/>
              <w:spacing w:before="0" w:beforeAutospacing="0" w:after="0" w:afterAutospacing="0" w:line="360" w:lineRule="auto"/>
              <w:rPr>
                <w:rFonts w:hint="eastAsia" w:ascii="宋体" w:hAnsi="宋体" w:eastAsia="宋体" w:cs="@仿宋_GB2312"/>
                <w:b w:val="0"/>
                <w:bCs/>
                <w:kern w:val="0"/>
                <w:sz w:val="24"/>
                <w:szCs w:val="28"/>
                <w:highlight w:val="none"/>
                <w:lang w:val="en-US" w:eastAsia="zh-CN" w:bidi="ar-SA"/>
              </w:rPr>
            </w:pPr>
            <w:r>
              <w:rPr>
                <w:rFonts w:hint="eastAsia" w:ascii="宋体" w:hAnsi="宋体" w:eastAsia="宋体" w:cs="宋体"/>
                <w:b/>
                <w:bCs w:val="0"/>
                <w:sz w:val="24"/>
                <w:highlight w:val="none"/>
                <w:lang w:val="en-US" w:eastAsia="zh-CN"/>
              </w:rPr>
              <w:t>技术参数要求</w:t>
            </w:r>
          </w:p>
        </w:tc>
        <w:tc>
          <w:tcPr>
            <w:tcW w:w="3217" w:type="pct"/>
            <w:vAlign w:val="center"/>
          </w:tcPr>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b/>
                <w:sz w:val="24"/>
                <w:szCs w:val="22"/>
                <w:highlight w:val="none"/>
                <w:lang w:val="en-US" w:eastAsia="zh-CN"/>
              </w:rPr>
            </w:pPr>
            <w:r>
              <w:rPr>
                <w:rFonts w:hint="eastAsia" w:asciiTheme="minorEastAsia" w:hAnsiTheme="minorEastAsia" w:eastAsiaTheme="minorEastAsia"/>
                <w:b/>
                <w:sz w:val="24"/>
                <w:szCs w:val="22"/>
                <w:lang w:val="en-US" w:eastAsia="zh-CN"/>
              </w:rPr>
              <w:t>所投耗材的技术参数及要求须满足或优于磋商文件要求</w:t>
            </w:r>
            <w:r>
              <w:rPr>
                <w:rFonts w:hint="eastAsia" w:ascii="宋体" w:hAnsi="宋体" w:eastAsia="宋体"/>
                <w:b/>
                <w:sz w:val="24"/>
                <w:szCs w:val="22"/>
                <w:highlight w:val="none"/>
                <w:lang w:val="en-US" w:eastAsia="zh-CN"/>
              </w:rPr>
              <w:t>，否则响应无效。</w:t>
            </w:r>
          </w:p>
          <w:p>
            <w:pPr>
              <w:keepNext w:val="0"/>
              <w:keepLines w:val="0"/>
              <w:pageBreakBefore w:val="0"/>
              <w:widowControl w:val="0"/>
              <w:kinsoku/>
              <w:wordWrap/>
              <w:overflowPunct/>
              <w:topLinePunct w:val="0"/>
              <w:autoSpaceDE/>
              <w:autoSpaceDN/>
              <w:bidi w:val="0"/>
              <w:adjustRightInd w:val="0"/>
              <w:snapToGrid w:val="0"/>
              <w:spacing w:line="312" w:lineRule="auto"/>
              <w:textAlignment w:val="auto"/>
              <w:rPr>
                <w:rFonts w:hint="eastAsia" w:ascii="宋体" w:hAnsi="宋体" w:eastAsia="宋体" w:cs="@仿宋_GB2312"/>
                <w:b w:val="0"/>
                <w:kern w:val="2"/>
                <w:sz w:val="24"/>
                <w:highlight w:val="none"/>
                <w:lang w:val="en-US" w:eastAsia="zh-CN" w:bidi="ar-SA"/>
              </w:rPr>
            </w:pPr>
            <w:r>
              <w:rPr>
                <w:rFonts w:hint="eastAsia" w:ascii="宋体" w:hAnsi="宋体" w:eastAsia="宋体"/>
                <w:b/>
                <w:sz w:val="24"/>
                <w:szCs w:val="22"/>
                <w:highlight w:val="none"/>
                <w:lang w:val="en-US" w:eastAsia="zh-CN"/>
              </w:rPr>
              <w:t>注：</w:t>
            </w:r>
            <w:r>
              <w:rPr>
                <w:rFonts w:hint="eastAsia" w:ascii="宋体" w:hAnsi="宋体" w:eastAsia="宋体" w:cs="宋体"/>
                <w:b/>
                <w:bCs/>
                <w:sz w:val="24"/>
                <w:highlight w:val="none"/>
              </w:rPr>
              <w:t>以</w:t>
            </w:r>
            <w:r>
              <w:rPr>
                <w:rFonts w:hint="eastAsia" w:ascii="宋体" w:hAnsi="宋体" w:eastAsia="宋体" w:cs="宋体"/>
                <w:b/>
                <w:bCs/>
                <w:sz w:val="24"/>
                <w:highlight w:val="none"/>
                <w:lang w:val="en-US" w:eastAsia="zh-CN"/>
              </w:rPr>
              <w:t>磋商</w:t>
            </w:r>
            <w:r>
              <w:rPr>
                <w:rFonts w:hint="eastAsia" w:ascii="宋体" w:hAnsi="宋体" w:eastAsia="宋体" w:cs="宋体"/>
                <w:b/>
                <w:bCs/>
                <w:sz w:val="24"/>
                <w:highlight w:val="none"/>
              </w:rPr>
              <w:t>响应表</w:t>
            </w:r>
            <w:r>
              <w:rPr>
                <w:rFonts w:hint="eastAsia" w:ascii="宋体" w:hAnsi="宋体" w:eastAsia="宋体" w:cs="宋体"/>
                <w:b/>
                <w:bCs/>
                <w:sz w:val="24"/>
                <w:highlight w:val="none"/>
                <w:lang w:val="en-US" w:eastAsia="zh-CN"/>
              </w:rPr>
              <w:t>为准</w:t>
            </w:r>
            <w:r>
              <w:rPr>
                <w:rFonts w:hint="eastAsia" w:ascii="宋体" w:hAnsi="宋体" w:eastAsia="宋体" w:cs="宋体"/>
                <w:b/>
                <w:bCs/>
                <w:sz w:val="24"/>
                <w:highlight w:val="none"/>
                <w:lang w:eastAsia="zh-CN"/>
              </w:rPr>
              <w:t>。</w:t>
            </w:r>
          </w:p>
        </w:tc>
      </w:tr>
    </w:tbl>
    <w:p>
      <w:pPr>
        <w:spacing w:line="360" w:lineRule="auto"/>
        <w:ind w:firstLine="437"/>
        <w:rPr>
          <w:rFonts w:ascii="宋体" w:hAnsi="宋体" w:eastAsia="宋体"/>
          <w:b/>
          <w:sz w:val="24"/>
          <w:szCs w:val="18"/>
        </w:rPr>
      </w:pPr>
      <w:r>
        <w:rPr>
          <w:rFonts w:hint="eastAsia" w:ascii="宋体" w:hAnsi="宋体" w:eastAsia="宋体"/>
          <w:b/>
          <w:sz w:val="24"/>
          <w:szCs w:val="18"/>
          <w:lang w:val="en-US" w:eastAsia="zh-CN"/>
        </w:rPr>
        <w:t>二</w:t>
      </w:r>
      <w:r>
        <w:rPr>
          <w:rFonts w:hint="eastAsia" w:ascii="宋体" w:hAnsi="宋体" w:eastAsia="宋体"/>
          <w:b/>
          <w:sz w:val="24"/>
          <w:szCs w:val="18"/>
        </w:rPr>
        <w:t>、服务需求</w:t>
      </w:r>
    </w:p>
    <w:p>
      <w:pPr>
        <w:spacing w:line="360" w:lineRule="auto"/>
        <w:ind w:firstLine="435"/>
        <w:rPr>
          <w:rFonts w:hint="default" w:asciiTheme="minorEastAsia" w:hAnsiTheme="minorEastAsia" w:eastAsiaTheme="minorEastAsia"/>
          <w:sz w:val="24"/>
          <w:lang w:val="en-US" w:eastAsia="zh-CN"/>
        </w:rPr>
      </w:pP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一</w:t>
      </w:r>
      <w:r>
        <w:rPr>
          <w:rFonts w:hint="eastAsia" w:asciiTheme="minorEastAsia" w:hAnsiTheme="minorEastAsia" w:eastAsiaTheme="minorEastAsia"/>
          <w:sz w:val="24"/>
        </w:rPr>
        <w:t>）</w:t>
      </w:r>
      <w:r>
        <w:rPr>
          <w:rFonts w:hint="eastAsia" w:asciiTheme="minorEastAsia" w:hAnsiTheme="minorEastAsia" w:eastAsiaTheme="minorEastAsia"/>
          <w:sz w:val="24"/>
          <w:lang w:val="en-US" w:eastAsia="zh-CN"/>
        </w:rPr>
        <w:t>耗材需求表</w:t>
      </w:r>
    </w:p>
    <w:tbl>
      <w:tblPr>
        <w:tblStyle w:val="16"/>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346"/>
        <w:gridCol w:w="4560"/>
        <w:gridCol w:w="1097"/>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39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sz w:val="24"/>
                <w:szCs w:val="24"/>
                <w:lang w:val="en-US" w:eastAsia="zh-CN"/>
              </w:rPr>
              <w:t>序号</w:t>
            </w:r>
          </w:p>
        </w:tc>
        <w:tc>
          <w:tcPr>
            <w:tcW w:w="79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sz w:val="24"/>
                <w:szCs w:val="24"/>
                <w:lang w:val="en-US" w:eastAsia="zh-CN"/>
              </w:rPr>
              <w:t>耗材</w:t>
            </w:r>
            <w:r>
              <w:rPr>
                <w:rFonts w:hint="eastAsia" w:asciiTheme="minorEastAsia" w:hAnsiTheme="minorEastAsia" w:eastAsiaTheme="minorEastAsia" w:cstheme="minorEastAsia"/>
                <w:sz w:val="24"/>
                <w:szCs w:val="24"/>
              </w:rPr>
              <w:t>品种</w:t>
            </w:r>
          </w:p>
        </w:tc>
        <w:tc>
          <w:tcPr>
            <w:tcW w:w="2676"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sz w:val="24"/>
                <w:szCs w:val="24"/>
              </w:rPr>
              <w:t>技术参数及要求</w:t>
            </w:r>
          </w:p>
        </w:tc>
        <w:tc>
          <w:tcPr>
            <w:tcW w:w="644"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Cs/>
                <w:sz w:val="24"/>
                <w:szCs w:val="24"/>
                <w:lang w:val="en-US" w:eastAsia="zh-CN"/>
              </w:rPr>
              <w:t>预估</w:t>
            </w:r>
            <w:r>
              <w:rPr>
                <w:rFonts w:hint="eastAsia" w:asciiTheme="minorEastAsia" w:hAnsiTheme="minorEastAsia" w:eastAsiaTheme="minorEastAsia" w:cstheme="minorEastAsia"/>
                <w:bCs/>
                <w:sz w:val="24"/>
                <w:szCs w:val="24"/>
              </w:rPr>
              <w:t>数量（单位）</w:t>
            </w:r>
          </w:p>
        </w:tc>
        <w:tc>
          <w:tcPr>
            <w:tcW w:w="498"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bCs/>
                <w:kern w:val="2"/>
                <w:sz w:val="24"/>
                <w:szCs w:val="24"/>
                <w:lang w:val="en-US" w:eastAsia="zh-CN" w:bidi="ar-SA"/>
              </w:rPr>
            </w:pPr>
            <w:r>
              <w:rPr>
                <w:rFonts w:hint="eastAsia" w:asciiTheme="minorEastAsia" w:hAnsiTheme="minorEastAsia" w:eastAsiaTheme="minorEastAsia" w:cstheme="minorEastAsia"/>
                <w:b/>
                <w:bCs w:val="0"/>
                <w:sz w:val="24"/>
                <w:szCs w:val="24"/>
                <w:lang w:eastAsia="zh-CN"/>
              </w:rPr>
              <w:t>最高</w:t>
            </w:r>
            <w:r>
              <w:rPr>
                <w:rFonts w:hint="eastAsia" w:asciiTheme="minorEastAsia" w:hAnsiTheme="minorEastAsia" w:eastAsiaTheme="minorEastAsia" w:cstheme="minorEastAsia"/>
                <w:b/>
                <w:bCs w:val="0"/>
                <w:sz w:val="24"/>
                <w:szCs w:val="24"/>
              </w:rPr>
              <w:t>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39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1</w:t>
            </w:r>
          </w:p>
        </w:tc>
        <w:tc>
          <w:tcPr>
            <w:tcW w:w="79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栓塞弹簧圈（铂金微弹簧圈）</w:t>
            </w:r>
          </w:p>
        </w:tc>
        <w:tc>
          <w:tcPr>
            <w:tcW w:w="2676"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both"/>
              <w:textAlignment w:val="baseline"/>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1、功能参数：0.018系统，直径2-10mm，长度2-14cm。</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both"/>
              <w:textAlignment w:val="baseline"/>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2、栓塞弹簧圈用于对动静脉畸形、妇产介入相关疾病及其他血管病变的供血血管进行选择性栓塞。</w:t>
            </w:r>
          </w:p>
        </w:tc>
        <w:tc>
          <w:tcPr>
            <w:tcW w:w="644"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54个</w:t>
            </w:r>
          </w:p>
        </w:tc>
        <w:tc>
          <w:tcPr>
            <w:tcW w:w="498"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1500元/个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39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2</w:t>
            </w:r>
          </w:p>
        </w:tc>
        <w:tc>
          <w:tcPr>
            <w:tcW w:w="79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聚乙烯醇泡沫栓塞微粒</w:t>
            </w:r>
          </w:p>
        </w:tc>
        <w:tc>
          <w:tcPr>
            <w:tcW w:w="2676"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both"/>
              <w:textAlignment w:val="baseline"/>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1、功能参数：PVA100-1000区间。</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both"/>
              <w:textAlignment w:val="baseline"/>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lang w:val="en-US" w:eastAsia="zh-CN"/>
              </w:rPr>
              <w:t>2、聚乙烯醇泡沫栓塞微粒被设计用于血管丰富的肿瘤以及动静脉畸形的血管内栓塞。</w:t>
            </w:r>
          </w:p>
        </w:tc>
        <w:tc>
          <w:tcPr>
            <w:tcW w:w="644"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145个</w:t>
            </w:r>
          </w:p>
        </w:tc>
        <w:tc>
          <w:tcPr>
            <w:tcW w:w="498"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1491元/个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39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3</w:t>
            </w:r>
          </w:p>
        </w:tc>
        <w:tc>
          <w:tcPr>
            <w:tcW w:w="79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亲水涂层导丝</w:t>
            </w:r>
          </w:p>
        </w:tc>
        <w:tc>
          <w:tcPr>
            <w:tcW w:w="2676"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both"/>
              <w:textAlignment w:val="baseline"/>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1、功能参数：0.035”/0.038“ 长度≤200CM，</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both"/>
              <w:textAlignment w:val="baseline"/>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lang w:val="en-US" w:eastAsia="zh-CN"/>
              </w:rPr>
              <w:t>2、亲水涂层导丝被设计用于在诊断和介入手术中,便于器械置入</w:t>
            </w:r>
          </w:p>
        </w:tc>
        <w:tc>
          <w:tcPr>
            <w:tcW w:w="644"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104个</w:t>
            </w:r>
          </w:p>
        </w:tc>
        <w:tc>
          <w:tcPr>
            <w:tcW w:w="498"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548元/个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39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4</w:t>
            </w:r>
          </w:p>
        </w:tc>
        <w:tc>
          <w:tcPr>
            <w:tcW w:w="79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血管鞘</w:t>
            </w:r>
          </w:p>
        </w:tc>
        <w:tc>
          <w:tcPr>
            <w:tcW w:w="2676"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both"/>
              <w:textAlignment w:val="baseline"/>
              <w:rPr>
                <w:rFonts w:hint="eastAsia"/>
                <w:lang w:val="en-US" w:eastAsia="zh-CN"/>
              </w:rPr>
            </w:pPr>
            <w:r>
              <w:rPr>
                <w:rFonts w:hint="eastAsia" w:asciiTheme="minorEastAsia" w:hAnsiTheme="minorEastAsia" w:eastAsiaTheme="minorEastAsia" w:cstheme="minorEastAsia"/>
                <w:b w:val="0"/>
                <w:bCs w:val="0"/>
                <w:sz w:val="24"/>
                <w:szCs w:val="24"/>
                <w:lang w:val="en-US" w:eastAsia="zh-CN"/>
              </w:rPr>
              <w:t>1、功能参数：直径4.0-16F，长度≤23CM。</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both"/>
              <w:textAlignment w:val="baseline"/>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lang w:val="en-US" w:eastAsia="zh-CN"/>
              </w:rPr>
              <w:t>2、血管鞘被设计用于经皮穿刺介入血管系统，导入球囊导管、电极或导管，进行介入诊断或治疗手术。</w:t>
            </w:r>
          </w:p>
        </w:tc>
        <w:tc>
          <w:tcPr>
            <w:tcW w:w="644"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12个</w:t>
            </w:r>
          </w:p>
        </w:tc>
        <w:tc>
          <w:tcPr>
            <w:tcW w:w="498"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184元/个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39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5</w:t>
            </w:r>
          </w:p>
        </w:tc>
        <w:tc>
          <w:tcPr>
            <w:tcW w:w="79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球囊扩展导管</w:t>
            </w:r>
          </w:p>
        </w:tc>
        <w:tc>
          <w:tcPr>
            <w:tcW w:w="2676"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both"/>
              <w:textAlignment w:val="baseline"/>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1、功能参数：通过0.035导丝，推送杆80/135，直径＜10MM，</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both"/>
              <w:textAlignment w:val="baseline"/>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lang w:val="en-US" w:eastAsia="zh-CN"/>
              </w:rPr>
              <w:t>2、用于经皮腔内血管成形术，用于治疗外周动脉病变以及原发性或人工性动静脉的动静脉透析瘘管的阻塞性病变（包括双侧髂动脉阻断）。</w:t>
            </w:r>
          </w:p>
        </w:tc>
        <w:tc>
          <w:tcPr>
            <w:tcW w:w="644"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6个</w:t>
            </w:r>
          </w:p>
        </w:tc>
        <w:tc>
          <w:tcPr>
            <w:tcW w:w="498"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2925元/个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39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default"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bCs/>
                <w:sz w:val="24"/>
                <w:szCs w:val="24"/>
                <w:lang w:val="en-US" w:eastAsia="zh-CN"/>
              </w:rPr>
              <w:t>6</w:t>
            </w:r>
          </w:p>
        </w:tc>
        <w:tc>
          <w:tcPr>
            <w:tcW w:w="790"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血管造影导管（5F、80cm）</w:t>
            </w:r>
          </w:p>
        </w:tc>
        <w:tc>
          <w:tcPr>
            <w:tcW w:w="2676" w:type="pct"/>
            <w:noWrap w:val="0"/>
            <w:vAlign w:val="center"/>
          </w:tcPr>
          <w:p>
            <w:pPr>
              <w:keepNext w:val="0"/>
              <w:keepLines w:val="0"/>
              <w:pageBreakBefore w:val="0"/>
              <w:widowControl w:val="0"/>
              <w:kinsoku/>
              <w:wordWrap/>
              <w:overflowPunct/>
              <w:topLinePunct w:val="0"/>
              <w:autoSpaceDE/>
              <w:autoSpaceDN/>
              <w:bidi w:val="0"/>
              <w:adjustRightInd/>
              <w:snapToGrid/>
              <w:spacing w:line="288" w:lineRule="auto"/>
              <w:ind w:firstLine="0" w:firstLineChars="0"/>
              <w:jc w:val="both"/>
              <w:textAlignment w:val="baseline"/>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1、功能参数：直径4.0-5.0，</w:t>
            </w:r>
          </w:p>
          <w:p>
            <w:pPr>
              <w:keepNext w:val="0"/>
              <w:keepLines w:val="0"/>
              <w:pageBreakBefore w:val="0"/>
              <w:widowControl w:val="0"/>
              <w:kinsoku/>
              <w:wordWrap/>
              <w:overflowPunct/>
              <w:topLinePunct w:val="0"/>
              <w:autoSpaceDE/>
              <w:autoSpaceDN/>
              <w:bidi w:val="0"/>
              <w:adjustRightInd/>
              <w:snapToGrid/>
              <w:spacing w:line="288" w:lineRule="auto"/>
              <w:ind w:firstLine="0" w:firstLineChars="0"/>
              <w:jc w:val="both"/>
              <w:textAlignment w:val="baseline"/>
              <w:rPr>
                <w:rFonts w:hint="eastAsia" w:asciiTheme="minorEastAsia" w:hAnsiTheme="minorEastAsia" w:eastAsiaTheme="minorEastAsia" w:cstheme="minorEastAsia"/>
                <w:b w:val="0"/>
                <w:bCs w:val="0"/>
                <w:kern w:val="2"/>
                <w:sz w:val="24"/>
                <w:szCs w:val="24"/>
                <w:lang w:val="en-US" w:eastAsia="zh-CN" w:bidi="ar-SA"/>
              </w:rPr>
            </w:pPr>
            <w:r>
              <w:rPr>
                <w:rFonts w:hint="eastAsia" w:asciiTheme="minorEastAsia" w:hAnsiTheme="minorEastAsia" w:eastAsiaTheme="minorEastAsia" w:cstheme="minorEastAsia"/>
                <w:b w:val="0"/>
                <w:bCs w:val="0"/>
                <w:sz w:val="24"/>
                <w:szCs w:val="24"/>
                <w:lang w:val="en-US" w:eastAsia="zh-CN"/>
              </w:rPr>
              <w:t>2、用于放射进入诊断和治疗手术，插入血管系统，注射或输入对照介质，进行血管系统造影，或导入其他治疗器械（如PVA、弹簧圈），行介入治疗手术。</w:t>
            </w:r>
          </w:p>
        </w:tc>
        <w:tc>
          <w:tcPr>
            <w:tcW w:w="644"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126个</w:t>
            </w:r>
          </w:p>
        </w:tc>
        <w:tc>
          <w:tcPr>
            <w:tcW w:w="498" w:type="pct"/>
            <w:noWrap w:val="0"/>
            <w:vAlign w:val="center"/>
          </w:tcPr>
          <w:p>
            <w:pPr>
              <w:keepNext w:val="0"/>
              <w:keepLines w:val="0"/>
              <w:pageBreakBefore w:val="0"/>
              <w:kinsoku/>
              <w:wordWrap/>
              <w:overflowPunct/>
              <w:topLinePunct w:val="0"/>
              <w:autoSpaceDE/>
              <w:autoSpaceDN/>
              <w:bidi w:val="0"/>
              <w:adjustRightInd w:val="0"/>
              <w:snapToGrid w:val="0"/>
              <w:spacing w:line="240" w:lineRule="auto"/>
              <w:ind w:firstLine="0" w:firstLineChars="0"/>
              <w:jc w:val="center"/>
              <w:textAlignment w:val="baseline"/>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sz w:val="24"/>
                <w:szCs w:val="24"/>
                <w:lang w:val="en-US" w:eastAsia="zh-CN"/>
              </w:rPr>
              <w:t>176元/个</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baseline"/>
        <w:rPr>
          <w:rFonts w:hint="eastAsia" w:asciiTheme="minorEastAsia" w:hAnsiTheme="minorEastAsia" w:eastAsiaTheme="minorEastAsia" w:cstheme="minorEastAsia"/>
          <w:b/>
          <w:color w:val="auto"/>
          <w:sz w:val="24"/>
          <w:szCs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baseline"/>
        <w:rPr>
          <w:rFonts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三、服务需求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rPr>
        <w:t>所投产品须包括该</w:t>
      </w:r>
      <w:r>
        <w:rPr>
          <w:rFonts w:hint="eastAsia" w:asciiTheme="minorEastAsia" w:hAnsiTheme="minorEastAsia" w:eastAsiaTheme="minorEastAsia" w:cstheme="minorEastAsia"/>
          <w:color w:val="auto"/>
          <w:sz w:val="24"/>
          <w:szCs w:val="24"/>
          <w:highlight w:val="none"/>
          <w:lang w:val="en-US" w:eastAsia="zh-CN"/>
        </w:rPr>
        <w:t>采购</w:t>
      </w:r>
      <w:r>
        <w:rPr>
          <w:rFonts w:hint="eastAsia" w:asciiTheme="minorEastAsia" w:hAnsiTheme="minorEastAsia" w:eastAsiaTheme="minorEastAsia" w:cstheme="minorEastAsia"/>
          <w:color w:val="auto"/>
          <w:sz w:val="24"/>
          <w:szCs w:val="24"/>
          <w:highlight w:val="none"/>
        </w:rPr>
        <w:t>需求中所有内容，不得只投部分产品。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rPr>
        <w:t>所投产品须为功能、配置完整，能够直接使用的产品。</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rPr>
        <w:t>须如实填报各种类产品的所有型号，合同期内采购人将严格按照</w:t>
      </w:r>
      <w:r>
        <w:rPr>
          <w:rFonts w:hint="eastAsia" w:asciiTheme="minorEastAsia" w:hAnsiTheme="minorEastAsia" w:eastAsiaTheme="minorEastAsia" w:cstheme="minorEastAsia"/>
          <w:color w:val="auto"/>
          <w:sz w:val="24"/>
          <w:szCs w:val="24"/>
          <w:highlight w:val="none"/>
          <w:lang w:val="en-US" w:eastAsia="zh-CN"/>
        </w:rPr>
        <w:t>成交供应商</w:t>
      </w:r>
      <w:r>
        <w:rPr>
          <w:rFonts w:hint="eastAsia" w:asciiTheme="minorEastAsia" w:hAnsiTheme="minorEastAsia" w:eastAsiaTheme="minorEastAsia" w:cstheme="minorEastAsia"/>
          <w:color w:val="auto"/>
          <w:sz w:val="24"/>
          <w:szCs w:val="24"/>
          <w:highlight w:val="none"/>
        </w:rPr>
        <w:t>所报型号采购货物。</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rPr>
          <w:rFonts w:ascii="宋体" w:hAnsi="宋体" w:eastAsia="宋体"/>
          <w:b/>
          <w:bCs/>
          <w:color w:val="auto"/>
          <w:sz w:val="24"/>
          <w:szCs w:val="18"/>
          <w:highlight w:val="none"/>
        </w:rPr>
      </w:pPr>
      <w:r>
        <w:rPr>
          <w:rFonts w:hint="eastAsia" w:ascii="宋体" w:hAnsi="宋体" w:eastAsia="宋体" w:cs="Arial"/>
          <w:b/>
          <w:color w:val="auto"/>
          <w:sz w:val="24"/>
          <w:szCs w:val="24"/>
          <w:highlight w:val="none"/>
        </w:rPr>
        <w:t>四、</w:t>
      </w:r>
      <w:r>
        <w:rPr>
          <w:rFonts w:hint="eastAsia" w:ascii="宋体" w:hAnsi="宋体" w:eastAsia="宋体"/>
          <w:b/>
          <w:bCs/>
          <w:color w:val="auto"/>
          <w:sz w:val="24"/>
          <w:szCs w:val="18"/>
          <w:highlight w:val="none"/>
        </w:rPr>
        <w:t>报价要求及结算要求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rPr>
          <w:rFonts w:ascii="宋体" w:hAnsi="宋体" w:eastAsia="宋体"/>
          <w:bCs/>
          <w:color w:val="auto"/>
          <w:sz w:val="24"/>
          <w:szCs w:val="18"/>
          <w:highlight w:val="none"/>
        </w:rPr>
      </w:pPr>
      <w:r>
        <w:rPr>
          <w:rFonts w:hint="eastAsia" w:ascii="宋体" w:hAnsi="宋体" w:eastAsia="宋体"/>
          <w:bCs/>
          <w:color w:val="auto"/>
          <w:sz w:val="24"/>
          <w:szCs w:val="18"/>
          <w:highlight w:val="none"/>
        </w:rPr>
        <w:t>1、上述耗材需求表中列明的数量</w:t>
      </w:r>
      <w:r>
        <w:rPr>
          <w:rFonts w:hint="eastAsia" w:ascii="宋体" w:hAnsi="宋体" w:eastAsia="宋体"/>
          <w:bCs/>
          <w:color w:val="auto"/>
          <w:sz w:val="24"/>
          <w:szCs w:val="18"/>
          <w:highlight w:val="none"/>
          <w:lang w:val="en-US" w:eastAsia="zh-CN"/>
        </w:rPr>
        <w:t>仅</w:t>
      </w:r>
      <w:r>
        <w:rPr>
          <w:rFonts w:hint="eastAsia" w:ascii="宋体" w:hAnsi="宋体" w:eastAsia="宋体"/>
          <w:bCs/>
          <w:color w:val="auto"/>
          <w:sz w:val="24"/>
          <w:szCs w:val="18"/>
          <w:highlight w:val="none"/>
        </w:rPr>
        <w:t>为暂定量，</w:t>
      </w:r>
      <w:r>
        <w:rPr>
          <w:rFonts w:hint="eastAsia" w:ascii="宋体" w:hAnsi="宋体" w:eastAsia="宋体"/>
          <w:bCs/>
          <w:color w:val="auto"/>
          <w:sz w:val="24"/>
          <w:szCs w:val="18"/>
          <w:highlight w:val="none"/>
          <w:lang w:val="en-US" w:eastAsia="zh-CN"/>
        </w:rPr>
        <w:t>供应商</w:t>
      </w:r>
      <w:r>
        <w:rPr>
          <w:rFonts w:hint="eastAsia" w:ascii="宋体" w:hAnsi="宋体" w:eastAsia="宋体"/>
          <w:bCs/>
          <w:color w:val="auto"/>
          <w:sz w:val="24"/>
          <w:szCs w:val="18"/>
          <w:highlight w:val="none"/>
        </w:rPr>
        <w:t>须按暂定量同时报各项</w:t>
      </w:r>
      <w:r>
        <w:rPr>
          <w:rFonts w:hint="eastAsia" w:ascii="宋体" w:hAnsi="宋体" w:eastAsia="宋体"/>
          <w:bCs/>
          <w:color w:val="auto"/>
          <w:sz w:val="24"/>
          <w:szCs w:val="18"/>
          <w:highlight w:val="none"/>
          <w:lang w:val="en-US" w:eastAsia="zh-CN"/>
        </w:rPr>
        <w:t>耗材</w:t>
      </w:r>
      <w:r>
        <w:rPr>
          <w:rFonts w:hint="eastAsia" w:ascii="宋体" w:hAnsi="宋体" w:eastAsia="宋体"/>
          <w:bCs/>
          <w:color w:val="auto"/>
          <w:sz w:val="24"/>
          <w:szCs w:val="18"/>
          <w:highlight w:val="none"/>
        </w:rPr>
        <w:t>品目的</w:t>
      </w:r>
      <w:r>
        <w:rPr>
          <w:rFonts w:hint="eastAsia" w:ascii="宋体" w:hAnsi="宋体" w:eastAsia="宋体"/>
          <w:b w:val="0"/>
          <w:bCs/>
          <w:color w:val="auto"/>
          <w:sz w:val="24"/>
          <w:szCs w:val="18"/>
          <w:highlight w:val="none"/>
        </w:rPr>
        <w:t>综合单价及总价</w:t>
      </w:r>
      <w:r>
        <w:rPr>
          <w:rFonts w:hint="eastAsia" w:ascii="宋体" w:hAnsi="宋体" w:eastAsia="宋体"/>
          <w:bCs/>
          <w:color w:val="auto"/>
          <w:sz w:val="24"/>
          <w:szCs w:val="18"/>
          <w:highlight w:val="none"/>
        </w:rPr>
        <w:t>，综合单价系指完成某一品目产品生产、供货、配送服务等所需一切费用的综合单价。总价作为定标的依据，综合单价作为据实结算的依据（综合单价</w:t>
      </w:r>
      <w:r>
        <w:rPr>
          <w:rFonts w:hint="eastAsia" w:ascii="宋体" w:hAnsi="宋体" w:eastAsia="宋体"/>
          <w:bCs/>
          <w:color w:val="auto"/>
          <w:sz w:val="24"/>
          <w:szCs w:val="18"/>
          <w:highlight w:val="none"/>
          <w:lang w:val="en-US" w:eastAsia="zh-CN"/>
        </w:rPr>
        <w:t>成交</w:t>
      </w:r>
      <w:r>
        <w:rPr>
          <w:rFonts w:hint="eastAsia" w:ascii="宋体" w:hAnsi="宋体" w:eastAsia="宋体"/>
          <w:bCs/>
          <w:color w:val="auto"/>
          <w:sz w:val="24"/>
          <w:szCs w:val="18"/>
          <w:highlight w:val="none"/>
        </w:rPr>
        <w:t>后不变）。</w:t>
      </w:r>
      <w:r>
        <w:rPr>
          <w:rFonts w:hint="eastAsia" w:ascii="宋体" w:hAnsi="宋体" w:eastAsia="宋体"/>
          <w:b/>
          <w:color w:val="auto"/>
          <w:sz w:val="24"/>
          <w:szCs w:val="18"/>
          <w:highlight w:val="none"/>
        </w:rPr>
        <w:t>本项目</w:t>
      </w:r>
      <w:r>
        <w:rPr>
          <w:rFonts w:hint="eastAsia" w:ascii="宋体" w:hAnsi="宋体" w:eastAsia="宋体"/>
          <w:b/>
          <w:color w:val="auto"/>
          <w:sz w:val="24"/>
          <w:szCs w:val="18"/>
          <w:highlight w:val="none"/>
          <w:lang w:val="en-US" w:eastAsia="zh-CN"/>
        </w:rPr>
        <w:t>供应商</w:t>
      </w:r>
      <w:r>
        <w:rPr>
          <w:rFonts w:hint="eastAsia" w:ascii="宋体" w:hAnsi="宋体" w:eastAsia="宋体"/>
          <w:b/>
          <w:color w:val="auto"/>
          <w:sz w:val="24"/>
          <w:szCs w:val="18"/>
          <w:highlight w:val="none"/>
        </w:rPr>
        <w:t>报各项综合单价及总价，</w:t>
      </w:r>
      <w:r>
        <w:rPr>
          <w:rFonts w:hint="eastAsia" w:ascii="宋体" w:hAnsi="宋体" w:eastAsia="宋体" w:cs="仿宋"/>
          <w:b/>
          <w:color w:val="auto"/>
          <w:sz w:val="24"/>
          <w:szCs w:val="24"/>
          <w:highlight w:val="none"/>
        </w:rPr>
        <w:t>总</w:t>
      </w:r>
      <w:r>
        <w:rPr>
          <w:rFonts w:hint="eastAsia" w:ascii="宋体" w:hAnsi="宋体" w:eastAsia="宋体" w:cs="仿宋"/>
          <w:b/>
          <w:bCs/>
          <w:color w:val="auto"/>
          <w:sz w:val="24"/>
          <w:szCs w:val="24"/>
          <w:highlight w:val="none"/>
        </w:rPr>
        <w:t>价不得超过本项目预算，综合单价不得超过耗材需求表中的最高</w:t>
      </w:r>
      <w:r>
        <w:rPr>
          <w:rFonts w:hint="eastAsia" w:ascii="宋体" w:hAnsi="宋体" w:eastAsia="宋体" w:cs="仿宋"/>
          <w:b/>
          <w:bCs/>
          <w:color w:val="auto"/>
          <w:sz w:val="24"/>
          <w:szCs w:val="24"/>
          <w:highlight w:val="none"/>
          <w:lang w:val="en-US" w:eastAsia="zh-CN"/>
        </w:rPr>
        <w:t>限价</w:t>
      </w:r>
      <w:r>
        <w:rPr>
          <w:rFonts w:hint="eastAsia" w:ascii="宋体" w:hAnsi="宋体" w:eastAsia="宋体" w:cs="仿宋"/>
          <w:b/>
          <w:bCs/>
          <w:color w:val="auto"/>
          <w:sz w:val="24"/>
          <w:szCs w:val="24"/>
          <w:highlight w:val="none"/>
        </w:rPr>
        <w:t>，否则</w:t>
      </w:r>
      <w:r>
        <w:rPr>
          <w:rFonts w:hint="eastAsia" w:ascii="宋体" w:hAnsi="宋体" w:eastAsia="宋体" w:cs="仿宋"/>
          <w:b/>
          <w:bCs/>
          <w:color w:val="auto"/>
          <w:sz w:val="24"/>
          <w:szCs w:val="24"/>
          <w:highlight w:val="none"/>
          <w:lang w:val="en-US" w:eastAsia="zh-CN"/>
        </w:rPr>
        <w:t>响应</w:t>
      </w:r>
      <w:r>
        <w:rPr>
          <w:rFonts w:hint="eastAsia" w:ascii="宋体" w:hAnsi="宋体" w:eastAsia="宋体" w:cs="仿宋"/>
          <w:b/>
          <w:bCs/>
          <w:color w:val="auto"/>
          <w:sz w:val="24"/>
          <w:szCs w:val="24"/>
          <w:highlight w:val="none"/>
        </w:rPr>
        <w:t>无效。</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rPr>
          <w:rFonts w:ascii="宋体" w:hAnsi="宋体" w:eastAsia="宋体"/>
          <w:b/>
          <w:color w:val="auto"/>
          <w:sz w:val="24"/>
          <w:szCs w:val="18"/>
          <w:highlight w:val="none"/>
        </w:rPr>
      </w:pPr>
      <w:r>
        <w:rPr>
          <w:rFonts w:hint="eastAsia" w:ascii="宋体" w:hAnsi="宋体" w:eastAsia="宋体"/>
          <w:bCs/>
          <w:color w:val="auto"/>
          <w:sz w:val="24"/>
          <w:szCs w:val="18"/>
          <w:highlight w:val="none"/>
        </w:rPr>
        <w:t>2、</w:t>
      </w:r>
      <w:r>
        <w:rPr>
          <w:rFonts w:hint="eastAsia" w:ascii="宋体" w:hAnsi="宋体" w:eastAsia="宋体"/>
          <w:bCs/>
          <w:color w:val="auto"/>
          <w:sz w:val="24"/>
          <w:szCs w:val="18"/>
          <w:highlight w:val="none"/>
          <w:lang w:val="en-US" w:eastAsia="zh-CN"/>
        </w:rPr>
        <w:t>成交供应商</w:t>
      </w:r>
      <w:r>
        <w:rPr>
          <w:rFonts w:hint="eastAsia" w:ascii="宋体" w:hAnsi="宋体" w:eastAsia="宋体"/>
          <w:bCs/>
          <w:color w:val="auto"/>
          <w:sz w:val="24"/>
          <w:szCs w:val="18"/>
          <w:highlight w:val="none"/>
        </w:rPr>
        <w:t>按采购人实际需求分批供货、据实结算，但累计结算金额不超过本项目预算。</w:t>
      </w:r>
      <w:r>
        <w:rPr>
          <w:rFonts w:hint="eastAsia" w:ascii="宋体" w:hAnsi="宋体" w:eastAsia="宋体"/>
          <w:bCs/>
          <w:color w:val="auto"/>
          <w:sz w:val="24"/>
          <w:szCs w:val="18"/>
          <w:highlight w:val="none"/>
          <w:lang w:val="en-US" w:eastAsia="zh-CN"/>
        </w:rPr>
        <w:t>供应商</w:t>
      </w:r>
      <w:r>
        <w:rPr>
          <w:rFonts w:hint="eastAsia" w:ascii="宋体" w:hAnsi="宋体" w:eastAsia="宋体"/>
          <w:bCs/>
          <w:color w:val="auto"/>
          <w:sz w:val="24"/>
          <w:szCs w:val="18"/>
          <w:highlight w:val="none"/>
        </w:rPr>
        <w:t>须综合考虑</w:t>
      </w:r>
      <w:r>
        <w:rPr>
          <w:rFonts w:hint="eastAsia" w:ascii="宋体" w:hAnsi="宋体" w:eastAsia="宋体"/>
          <w:bCs/>
          <w:color w:val="auto"/>
          <w:sz w:val="24"/>
          <w:szCs w:val="18"/>
          <w:highlight w:val="none"/>
          <w:lang w:val="en-US" w:eastAsia="zh-CN"/>
        </w:rPr>
        <w:t>成交</w:t>
      </w:r>
      <w:r>
        <w:rPr>
          <w:rFonts w:hint="eastAsia" w:ascii="宋体" w:hAnsi="宋体" w:eastAsia="宋体"/>
          <w:bCs/>
          <w:color w:val="auto"/>
          <w:sz w:val="24"/>
          <w:szCs w:val="18"/>
          <w:highlight w:val="none"/>
        </w:rPr>
        <w:t>后可能出现的实际供货量与</w:t>
      </w:r>
      <w:r>
        <w:rPr>
          <w:rFonts w:hint="eastAsia" w:ascii="宋体" w:hAnsi="宋体" w:eastAsia="宋体"/>
          <w:bCs/>
          <w:color w:val="auto"/>
          <w:sz w:val="24"/>
          <w:szCs w:val="18"/>
          <w:highlight w:val="none"/>
          <w:lang w:val="en-US" w:eastAsia="zh-CN"/>
        </w:rPr>
        <w:t>采购需求</w:t>
      </w:r>
      <w:r>
        <w:rPr>
          <w:rFonts w:hint="eastAsia" w:ascii="宋体" w:hAnsi="宋体" w:eastAsia="宋体"/>
          <w:bCs/>
          <w:color w:val="auto"/>
          <w:sz w:val="24"/>
          <w:szCs w:val="18"/>
          <w:highlight w:val="none"/>
        </w:rPr>
        <w:t>暂定量之间的差距。采购人后期仅根据</w:t>
      </w:r>
      <w:r>
        <w:rPr>
          <w:rFonts w:hint="eastAsia" w:ascii="宋体" w:hAnsi="宋体" w:eastAsia="宋体"/>
          <w:bCs/>
          <w:color w:val="auto"/>
          <w:sz w:val="24"/>
          <w:szCs w:val="18"/>
          <w:highlight w:val="none"/>
          <w:lang w:val="en-US" w:eastAsia="zh-CN"/>
        </w:rPr>
        <w:t>磋商</w:t>
      </w:r>
      <w:r>
        <w:rPr>
          <w:rFonts w:hint="eastAsia" w:ascii="宋体" w:hAnsi="宋体" w:eastAsia="宋体"/>
          <w:bCs/>
          <w:color w:val="auto"/>
          <w:sz w:val="24"/>
          <w:szCs w:val="18"/>
          <w:highlight w:val="none"/>
        </w:rPr>
        <w:t>文件列明的方式据实结算，不再追加除此之外的其他费用。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rPr>
          <w:rFonts w:ascii="宋体" w:hAnsi="宋体" w:eastAsia="宋体"/>
          <w:b/>
          <w:color w:val="auto"/>
          <w:sz w:val="24"/>
          <w:szCs w:val="18"/>
          <w:highlight w:val="none"/>
        </w:rPr>
      </w:pPr>
      <w:r>
        <w:rPr>
          <w:rFonts w:hint="eastAsia" w:ascii="宋体" w:hAnsi="宋体" w:eastAsia="宋体"/>
          <w:b/>
          <w:color w:val="auto"/>
          <w:sz w:val="24"/>
          <w:szCs w:val="18"/>
          <w:highlight w:val="none"/>
        </w:rPr>
        <w:t>五、其他要求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baseline"/>
        <w:rPr>
          <w:rFonts w:hint="eastAsia" w:asciiTheme="minorEastAsia" w:hAnsiTheme="minorEastAsia" w:eastAsiaTheme="minorEastAsia" w:cstheme="minorEastAsia"/>
          <w:color w:val="auto"/>
          <w:sz w:val="24"/>
          <w:szCs w:val="24"/>
          <w:highlight w:val="none"/>
          <w:lang w:val="zh-CN"/>
        </w:rPr>
      </w:pPr>
      <w:r>
        <w:rPr>
          <w:rFonts w:hint="eastAsia" w:ascii="宋体" w:hAnsi="宋体" w:eastAsia="宋体"/>
          <w:bCs/>
          <w:color w:val="auto"/>
          <w:sz w:val="24"/>
          <w:szCs w:val="18"/>
          <w:highlight w:val="none"/>
          <w:lang w:val="en-US" w:eastAsia="zh-CN"/>
        </w:rPr>
        <w:t>供应商</w:t>
      </w:r>
      <w:r>
        <w:rPr>
          <w:rFonts w:hint="eastAsia" w:asciiTheme="minorEastAsia" w:hAnsiTheme="minorEastAsia" w:eastAsiaTheme="minorEastAsia" w:cstheme="minorEastAsia"/>
          <w:color w:val="auto"/>
          <w:sz w:val="24"/>
          <w:szCs w:val="24"/>
          <w:highlight w:val="none"/>
        </w:rPr>
        <w:t>所投产品须全部属于安徽省医药集中采购中心平台目录范围内产品</w:t>
      </w:r>
      <w:r>
        <w:rPr>
          <w:rFonts w:hint="eastAsia" w:asciiTheme="minorEastAsia" w:hAnsiTheme="minorEastAsia" w:eastAsiaTheme="minorEastAsia" w:cstheme="minorEastAsia"/>
          <w:b w:val="0"/>
          <w:bCs w:val="0"/>
          <w:color w:val="auto"/>
          <w:sz w:val="24"/>
          <w:szCs w:val="24"/>
          <w:highlight w:val="none"/>
        </w:rPr>
        <w:t>，</w:t>
      </w:r>
      <w:r>
        <w:rPr>
          <w:rFonts w:hint="eastAsia" w:asciiTheme="minorEastAsia" w:hAnsiTheme="minorEastAsia" w:eastAsiaTheme="minorEastAsia" w:cstheme="minorEastAsia"/>
          <w:b w:val="0"/>
          <w:bCs w:val="0"/>
          <w:color w:val="auto"/>
          <w:sz w:val="24"/>
          <w:szCs w:val="24"/>
          <w:highlight w:val="none"/>
          <w:lang w:val="en-US" w:eastAsia="zh-CN"/>
        </w:rPr>
        <w:t>且</w:t>
      </w:r>
      <w:r>
        <w:rPr>
          <w:rFonts w:hint="eastAsia" w:asciiTheme="minorEastAsia" w:hAnsiTheme="minorEastAsia" w:eastAsiaTheme="minorEastAsia" w:cstheme="minorEastAsia"/>
          <w:b w:val="0"/>
          <w:bCs w:val="0"/>
          <w:color w:val="auto"/>
          <w:sz w:val="24"/>
          <w:szCs w:val="24"/>
          <w:highlight w:val="none"/>
        </w:rPr>
        <w:t>执行“两票制”</w:t>
      </w:r>
      <w:r>
        <w:rPr>
          <w:rFonts w:hint="eastAsia" w:asciiTheme="minorEastAsia" w:hAnsiTheme="minorEastAsia" w:eastAsiaTheme="minorEastAsia" w:cstheme="minorEastAsia"/>
          <w:b w:val="0"/>
          <w:bCs w:val="0"/>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eastAsia="zh-CN"/>
        </w:rPr>
        <w:t>所投标产品具有医保编码，</w:t>
      </w:r>
      <w:r>
        <w:rPr>
          <w:rFonts w:hint="eastAsia" w:asciiTheme="minorEastAsia" w:hAnsiTheme="minorEastAsia" w:eastAsiaTheme="minorEastAsia" w:cstheme="minorEastAsia"/>
          <w:b/>
          <w:bCs/>
          <w:color w:val="auto"/>
          <w:sz w:val="24"/>
          <w:szCs w:val="24"/>
          <w:highlight w:val="none"/>
          <w:lang w:val="en-US" w:eastAsia="zh-CN"/>
        </w:rPr>
        <w:t>响应</w:t>
      </w:r>
      <w:r>
        <w:rPr>
          <w:rFonts w:hint="eastAsia" w:asciiTheme="minorEastAsia" w:hAnsiTheme="minorEastAsia" w:eastAsiaTheme="minorEastAsia" w:cstheme="minorEastAsia"/>
          <w:b/>
          <w:bCs/>
          <w:color w:val="auto"/>
          <w:sz w:val="24"/>
          <w:szCs w:val="24"/>
          <w:highlight w:val="none"/>
        </w:rPr>
        <w:t>文件中提供产品流水号</w:t>
      </w:r>
      <w:r>
        <w:rPr>
          <w:rFonts w:hint="eastAsia" w:asciiTheme="minorEastAsia" w:hAnsiTheme="minorEastAsia" w:eastAsiaTheme="minorEastAsia" w:cstheme="minorEastAsia"/>
          <w:b/>
          <w:bCs/>
          <w:color w:val="auto"/>
          <w:sz w:val="24"/>
          <w:szCs w:val="24"/>
          <w:highlight w:val="none"/>
          <w:lang w:eastAsia="zh-CN"/>
        </w:rPr>
        <w:t>及医保编码</w:t>
      </w: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eastAsiaTheme="minorEastAsia" w:cstheme="minorEastAsia"/>
          <w:b/>
          <w:bCs/>
          <w:color w:val="auto"/>
          <w:sz w:val="24"/>
          <w:szCs w:val="24"/>
          <w:highlight w:val="none"/>
          <w:lang w:val="zh-CN"/>
        </w:rPr>
        <w:t>否则</w:t>
      </w:r>
      <w:r>
        <w:rPr>
          <w:rFonts w:hint="eastAsia" w:asciiTheme="minorEastAsia" w:hAnsiTheme="minorEastAsia" w:eastAsiaTheme="minorEastAsia" w:cstheme="minorEastAsia"/>
          <w:b/>
          <w:bCs/>
          <w:color w:val="auto"/>
          <w:sz w:val="24"/>
          <w:szCs w:val="24"/>
          <w:highlight w:val="none"/>
          <w:lang w:val="en-US" w:eastAsia="zh-CN"/>
        </w:rPr>
        <w:t>响应</w:t>
      </w:r>
      <w:r>
        <w:rPr>
          <w:rFonts w:hint="eastAsia" w:asciiTheme="minorEastAsia" w:hAnsiTheme="minorEastAsia" w:eastAsiaTheme="minorEastAsia" w:cstheme="minorEastAsia"/>
          <w:b/>
          <w:bCs/>
          <w:color w:val="auto"/>
          <w:sz w:val="24"/>
          <w:szCs w:val="24"/>
          <w:highlight w:val="none"/>
          <w:lang w:val="zh-CN"/>
        </w:rPr>
        <w:t>无效</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lang w:val="zh-CN"/>
        </w:rPr>
        <w:t>文件中还须提供</w:t>
      </w:r>
      <w:r>
        <w:rPr>
          <w:rFonts w:hint="eastAsia" w:asciiTheme="minorEastAsia" w:hAnsiTheme="minorEastAsia" w:eastAsiaTheme="minorEastAsia" w:cstheme="minorEastAsia"/>
          <w:color w:val="auto"/>
          <w:sz w:val="24"/>
          <w:szCs w:val="24"/>
          <w:highlight w:val="none"/>
          <w:lang w:val="en-US" w:eastAsia="zh-CN"/>
        </w:rPr>
        <w:t>供应商</w:t>
      </w:r>
      <w:r>
        <w:rPr>
          <w:rFonts w:hint="eastAsia" w:asciiTheme="minorEastAsia" w:hAnsiTheme="minorEastAsia" w:eastAsiaTheme="minorEastAsia" w:cstheme="minorEastAsia"/>
          <w:color w:val="auto"/>
          <w:sz w:val="24"/>
          <w:szCs w:val="24"/>
          <w:highlight w:val="none"/>
          <w:lang w:val="zh-CN"/>
        </w:rPr>
        <w:t>作为安徽省医药集中采购中心平台医用耗材配送企业库内企业的证明材料扫描件，</w:t>
      </w:r>
      <w:r>
        <w:rPr>
          <w:rFonts w:hint="eastAsia" w:asciiTheme="minorEastAsia" w:hAnsiTheme="minorEastAsia" w:eastAsiaTheme="minorEastAsia" w:cstheme="minorEastAsia"/>
          <w:b/>
          <w:bCs/>
          <w:color w:val="auto"/>
          <w:sz w:val="24"/>
          <w:szCs w:val="24"/>
          <w:highlight w:val="none"/>
          <w:lang w:val="zh-CN"/>
        </w:rPr>
        <w:t>否则</w:t>
      </w:r>
      <w:r>
        <w:rPr>
          <w:rFonts w:hint="eastAsia" w:asciiTheme="minorEastAsia" w:hAnsiTheme="minorEastAsia" w:eastAsiaTheme="minorEastAsia" w:cstheme="minorEastAsia"/>
          <w:b/>
          <w:bCs/>
          <w:color w:val="auto"/>
          <w:sz w:val="24"/>
          <w:szCs w:val="24"/>
          <w:highlight w:val="none"/>
          <w:lang w:val="en-US" w:eastAsia="zh-CN"/>
        </w:rPr>
        <w:t>响应</w:t>
      </w:r>
      <w:r>
        <w:rPr>
          <w:rFonts w:hint="eastAsia" w:asciiTheme="minorEastAsia" w:hAnsiTheme="minorEastAsia" w:eastAsiaTheme="minorEastAsia" w:cstheme="minorEastAsia"/>
          <w:b/>
          <w:bCs/>
          <w:color w:val="auto"/>
          <w:sz w:val="24"/>
          <w:szCs w:val="24"/>
          <w:highlight w:val="none"/>
          <w:lang w:val="zh-CN"/>
        </w:rPr>
        <w:t>无效</w:t>
      </w:r>
      <w:r>
        <w:rPr>
          <w:rFonts w:hint="eastAsia" w:asciiTheme="minorEastAsia" w:hAnsiTheme="minorEastAsia" w:eastAsiaTheme="minorEastAsia" w:cstheme="minorEastAsia"/>
          <w:color w:val="auto"/>
          <w:sz w:val="24"/>
          <w:szCs w:val="24"/>
          <w:highlight w:val="none"/>
          <w:lang w:val="zh-CN"/>
        </w:rPr>
        <w:t>。</w:t>
      </w:r>
    </w:p>
    <w:bookmarkEnd w:id="0"/>
    <w:p>
      <w:pPr>
        <w:spacing w:line="360" w:lineRule="auto"/>
        <w:rPr>
          <w:sz w:val="24"/>
          <w:szCs w:val="28"/>
        </w:rPr>
      </w:pPr>
      <w:bookmarkStart w:id="1" w:name="_GoBack"/>
      <w:bookmarkEnd w:id="1"/>
    </w:p>
    <w:p>
      <w:pPr>
        <w:adjustRightInd w:val="0"/>
        <w:snapToGrid w:val="0"/>
        <w:spacing w:line="360" w:lineRule="auto"/>
        <w:rPr>
          <w:rFonts w:ascii="宋体" w:hAnsi="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简标宋">
    <w:altName w:val="@等线"/>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使用中文字体)">
    <w:altName w:val="宋体"/>
    <w:panose1 w:val="00000000000000000000"/>
    <w:charset w:val="86"/>
    <w:family w:val="roman"/>
    <w:pitch w:val="default"/>
    <w:sig w:usb0="00000000" w:usb1="00000000" w:usb2="00000000" w:usb3="00000000" w:csb0="00000000" w:csb1="00000000"/>
  </w:font>
  <w:font w:name="Cambria Math">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Garamond">
    <w:panose1 w:val="02020404030301010803"/>
    <w:charset w:val="00"/>
    <w:family w:val="roman"/>
    <w:pitch w:val="default"/>
    <w:sig w:usb0="00000287" w:usb1="00000000" w:usb2="00000000" w:usb3="00000000" w:csb0="0000009F" w:csb1="DFD70000"/>
  </w:font>
  <w:font w:name="Arial">
    <w:panose1 w:val="020B0604020202020204"/>
    <w:charset w:val="00"/>
    <w:family w:val="swiss"/>
    <w:pitch w:val="default"/>
    <w:sig w:usb0="E0002EFF" w:usb1="C000785B" w:usb2="00000009" w:usb3="00000000" w:csb0="400001FF" w:csb1="FFFF0000"/>
  </w:font>
  <w:font w:name="幼圆">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BjZDBhY2UyMDllZDhkZDhhOTM1ZTk1MDFhYWY4NTUifQ=="/>
  </w:docVars>
  <w:rsids>
    <w:rsidRoot w:val="00FA6D88"/>
    <w:rsid w:val="00013CE9"/>
    <w:rsid w:val="0001437B"/>
    <w:rsid w:val="00020BAE"/>
    <w:rsid w:val="0002417B"/>
    <w:rsid w:val="000534B9"/>
    <w:rsid w:val="00056C4B"/>
    <w:rsid w:val="00066814"/>
    <w:rsid w:val="00077AE3"/>
    <w:rsid w:val="00090AA7"/>
    <w:rsid w:val="000C4D4B"/>
    <w:rsid w:val="000C727C"/>
    <w:rsid w:val="000E4C2E"/>
    <w:rsid w:val="000E580C"/>
    <w:rsid w:val="00100056"/>
    <w:rsid w:val="00173B59"/>
    <w:rsid w:val="00187222"/>
    <w:rsid w:val="00191C41"/>
    <w:rsid w:val="001A3E61"/>
    <w:rsid w:val="001D126F"/>
    <w:rsid w:val="00213F95"/>
    <w:rsid w:val="0024361A"/>
    <w:rsid w:val="002530E1"/>
    <w:rsid w:val="00282A71"/>
    <w:rsid w:val="00282C83"/>
    <w:rsid w:val="002857B4"/>
    <w:rsid w:val="002C64BC"/>
    <w:rsid w:val="002E2B19"/>
    <w:rsid w:val="00314A5C"/>
    <w:rsid w:val="00334D25"/>
    <w:rsid w:val="00346FB3"/>
    <w:rsid w:val="0035277F"/>
    <w:rsid w:val="003547BD"/>
    <w:rsid w:val="003677E5"/>
    <w:rsid w:val="0038585B"/>
    <w:rsid w:val="00387CD0"/>
    <w:rsid w:val="003A0F03"/>
    <w:rsid w:val="003B561E"/>
    <w:rsid w:val="003C4F02"/>
    <w:rsid w:val="00401AB9"/>
    <w:rsid w:val="00415A79"/>
    <w:rsid w:val="00430098"/>
    <w:rsid w:val="00437D5F"/>
    <w:rsid w:val="004978FF"/>
    <w:rsid w:val="004C4C7C"/>
    <w:rsid w:val="004D0099"/>
    <w:rsid w:val="004D3A41"/>
    <w:rsid w:val="004F61CB"/>
    <w:rsid w:val="005005B1"/>
    <w:rsid w:val="0050508A"/>
    <w:rsid w:val="00546E82"/>
    <w:rsid w:val="00572C89"/>
    <w:rsid w:val="00593C35"/>
    <w:rsid w:val="005A1701"/>
    <w:rsid w:val="005A3F57"/>
    <w:rsid w:val="005A6D96"/>
    <w:rsid w:val="005A712A"/>
    <w:rsid w:val="0061790E"/>
    <w:rsid w:val="00627C72"/>
    <w:rsid w:val="00660502"/>
    <w:rsid w:val="00677E5C"/>
    <w:rsid w:val="00692E29"/>
    <w:rsid w:val="006C62F9"/>
    <w:rsid w:val="006E0B4B"/>
    <w:rsid w:val="006E3C9E"/>
    <w:rsid w:val="006E52C2"/>
    <w:rsid w:val="006F1810"/>
    <w:rsid w:val="00725707"/>
    <w:rsid w:val="00755892"/>
    <w:rsid w:val="00757C97"/>
    <w:rsid w:val="00760E94"/>
    <w:rsid w:val="007700C0"/>
    <w:rsid w:val="00783189"/>
    <w:rsid w:val="007867B9"/>
    <w:rsid w:val="00795A84"/>
    <w:rsid w:val="00800D0A"/>
    <w:rsid w:val="00825D8E"/>
    <w:rsid w:val="00831597"/>
    <w:rsid w:val="00843D26"/>
    <w:rsid w:val="00852397"/>
    <w:rsid w:val="008600CA"/>
    <w:rsid w:val="00874925"/>
    <w:rsid w:val="008820E7"/>
    <w:rsid w:val="008863F7"/>
    <w:rsid w:val="008D0EFC"/>
    <w:rsid w:val="008E29B9"/>
    <w:rsid w:val="008E39DA"/>
    <w:rsid w:val="008E63EA"/>
    <w:rsid w:val="008F2EC1"/>
    <w:rsid w:val="008F7299"/>
    <w:rsid w:val="0092460A"/>
    <w:rsid w:val="009338A5"/>
    <w:rsid w:val="00934948"/>
    <w:rsid w:val="00940F79"/>
    <w:rsid w:val="00944320"/>
    <w:rsid w:val="00950128"/>
    <w:rsid w:val="00951BA1"/>
    <w:rsid w:val="00966AFE"/>
    <w:rsid w:val="00981DCC"/>
    <w:rsid w:val="009B792D"/>
    <w:rsid w:val="00A065D4"/>
    <w:rsid w:val="00A42B5D"/>
    <w:rsid w:val="00A47E5F"/>
    <w:rsid w:val="00A838D5"/>
    <w:rsid w:val="00A94F28"/>
    <w:rsid w:val="00AA3521"/>
    <w:rsid w:val="00AE5BDC"/>
    <w:rsid w:val="00B03F3B"/>
    <w:rsid w:val="00B52F09"/>
    <w:rsid w:val="00B65DA3"/>
    <w:rsid w:val="00B9236F"/>
    <w:rsid w:val="00BA0A44"/>
    <w:rsid w:val="00BC4CE4"/>
    <w:rsid w:val="00BE3892"/>
    <w:rsid w:val="00BE3DCB"/>
    <w:rsid w:val="00C041A4"/>
    <w:rsid w:val="00C11C79"/>
    <w:rsid w:val="00C33086"/>
    <w:rsid w:val="00C80B94"/>
    <w:rsid w:val="00CE3A10"/>
    <w:rsid w:val="00D00C55"/>
    <w:rsid w:val="00D00D5B"/>
    <w:rsid w:val="00D10331"/>
    <w:rsid w:val="00D30E9A"/>
    <w:rsid w:val="00D60DF8"/>
    <w:rsid w:val="00DB11AB"/>
    <w:rsid w:val="00DB157F"/>
    <w:rsid w:val="00DC501F"/>
    <w:rsid w:val="00DF3C6A"/>
    <w:rsid w:val="00E03E04"/>
    <w:rsid w:val="00E2749C"/>
    <w:rsid w:val="00E34D7E"/>
    <w:rsid w:val="00E7197A"/>
    <w:rsid w:val="00EA5363"/>
    <w:rsid w:val="00EC6C24"/>
    <w:rsid w:val="00ED3109"/>
    <w:rsid w:val="00EE21A2"/>
    <w:rsid w:val="00EF3272"/>
    <w:rsid w:val="00F04C50"/>
    <w:rsid w:val="00F44F60"/>
    <w:rsid w:val="00F517DC"/>
    <w:rsid w:val="00F753D8"/>
    <w:rsid w:val="00FA6D88"/>
    <w:rsid w:val="00FD40B1"/>
    <w:rsid w:val="00FD6938"/>
    <w:rsid w:val="00FF0481"/>
    <w:rsid w:val="56320207"/>
    <w:rsid w:val="5F7A7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微软简标宋" w:hAnsi="@微软简标宋" w:eastAsia="@微软简标宋" w:cs="@微软简标宋"/>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8"/>
    <w:qFormat/>
    <w:uiPriority w:val="0"/>
    <w:pPr>
      <w:keepNext/>
      <w:outlineLvl w:val="0"/>
    </w:pPr>
    <w:rPr>
      <w:rFonts w:ascii="黑体" w:hAnsi="黑体"/>
      <w:sz w:val="28"/>
      <w:szCs w:val="24"/>
    </w:rPr>
  </w:style>
  <w:style w:type="paragraph" w:styleId="4">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semiHidden/>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39"/>
    <w:qFormat/>
    <w:uiPriority w:val="0"/>
    <w:pPr>
      <w:keepNext/>
      <w:keepLines/>
      <w:spacing w:before="280" w:after="290" w:line="376" w:lineRule="auto"/>
      <w:outlineLvl w:val="3"/>
    </w:pPr>
    <w:rPr>
      <w:rFonts w:ascii="(使用中文字体)" w:hAnsi="(使用中文字体)" w:eastAsia="Cambria Math" w:cs="(使用中文字体)"/>
      <w:b/>
      <w:bCs/>
      <w:sz w:val="28"/>
      <w:szCs w:val="28"/>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微软简标宋" w:hAnsi="@微软简标宋" w:eastAsia="@微软简标宋" w:cs="@微软简标宋"/>
      <w:szCs w:val="24"/>
      <w:lang w:val="zh-CN"/>
    </w:rPr>
  </w:style>
  <w:style w:type="paragraph" w:styleId="7">
    <w:name w:val="caption"/>
    <w:basedOn w:val="1"/>
    <w:next w:val="1"/>
    <w:semiHidden/>
    <w:unhideWhenUsed/>
    <w:qFormat/>
    <w:uiPriority w:val="35"/>
    <w:rPr>
      <w:rFonts w:eastAsia="黑体" w:asciiTheme="majorHAnsi" w:hAnsiTheme="majorHAnsi" w:cstheme="majorBidi"/>
      <w:sz w:val="20"/>
    </w:rPr>
  </w:style>
  <w:style w:type="paragraph" w:styleId="8">
    <w:name w:val="Body Text Indent"/>
    <w:basedOn w:val="1"/>
    <w:link w:val="23"/>
    <w:qFormat/>
    <w:uiPriority w:val="0"/>
    <w:pPr>
      <w:ind w:firstLine="645"/>
    </w:pPr>
    <w:rPr>
      <w:rFonts w:ascii="楷体_GB2312" w:eastAsia="楷体_GB2312" w:hAnsiTheme="minorHAnsi" w:cstheme="minorBidi"/>
      <w:sz w:val="32"/>
      <w:szCs w:val="22"/>
    </w:rPr>
  </w:style>
  <w:style w:type="paragraph" w:styleId="9">
    <w:name w:val="Plain Text"/>
    <w:basedOn w:val="1"/>
    <w:link w:val="31"/>
    <w:unhideWhenUsed/>
    <w:qFormat/>
    <w:uiPriority w:val="0"/>
    <w:rPr>
      <w:rFonts w:eastAsiaTheme="minorEastAsia"/>
      <w:szCs w:val="21"/>
      <w:lang w:val="zh-CN"/>
    </w:rPr>
  </w:style>
  <w:style w:type="paragraph" w:styleId="10">
    <w:name w:val="Balloon Text"/>
    <w:basedOn w:val="1"/>
    <w:link w:val="26"/>
    <w:semiHidden/>
    <w:unhideWhenUsed/>
    <w:qFormat/>
    <w:uiPriority w:val="99"/>
    <w:rPr>
      <w:sz w:val="18"/>
      <w:szCs w:val="18"/>
    </w:rPr>
  </w:style>
  <w:style w:type="paragraph" w:styleId="11">
    <w:name w:val="footer"/>
    <w:basedOn w:val="1"/>
    <w:link w:val="2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2">
    <w:name w:val="header"/>
    <w:basedOn w:val="1"/>
    <w:link w:val="20"/>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3">
    <w:name w:val="Body Text 2"/>
    <w:basedOn w:val="1"/>
    <w:link w:val="34"/>
    <w:semiHidden/>
    <w:unhideWhenUsed/>
    <w:qFormat/>
    <w:uiPriority w:val="99"/>
    <w:pPr>
      <w:spacing w:after="120" w:line="480" w:lineRule="auto"/>
    </w:pPr>
  </w:style>
  <w:style w:type="paragraph" w:styleId="14">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15">
    <w:name w:val="Title"/>
    <w:basedOn w:val="1"/>
    <w:next w:val="1"/>
    <w:link w:val="25"/>
    <w:qFormat/>
    <w:uiPriority w:val="0"/>
    <w:pPr>
      <w:spacing w:before="240" w:after="60"/>
      <w:jc w:val="center"/>
      <w:outlineLvl w:val="0"/>
    </w:pPr>
    <w:rPr>
      <w:rFonts w:ascii="Cambria" w:hAnsi="Cambria"/>
      <w:b/>
      <w:bCs/>
      <w:sz w:val="32"/>
      <w:szCs w:val="32"/>
    </w:rPr>
  </w:style>
  <w:style w:type="character" w:customStyle="1" w:styleId="18">
    <w:name w:val="标题 1 Char"/>
    <w:basedOn w:val="17"/>
    <w:link w:val="3"/>
    <w:qFormat/>
    <w:uiPriority w:val="0"/>
    <w:rPr>
      <w:rFonts w:ascii="黑体" w:hAnsi="黑体" w:eastAsia="宋体" w:cs="Times New Roman"/>
      <w:sz w:val="28"/>
      <w:szCs w:val="24"/>
    </w:rPr>
  </w:style>
  <w:style w:type="character" w:customStyle="1" w:styleId="19">
    <w:name w:val="标题 2 Char"/>
    <w:basedOn w:val="17"/>
    <w:link w:val="4"/>
    <w:semiHidden/>
    <w:qFormat/>
    <w:uiPriority w:val="9"/>
    <w:rPr>
      <w:rFonts w:asciiTheme="majorHAnsi" w:hAnsiTheme="majorHAnsi" w:eastAsiaTheme="majorEastAsia" w:cstheme="majorBidi"/>
      <w:b/>
      <w:bCs/>
      <w:sz w:val="32"/>
      <w:szCs w:val="32"/>
    </w:rPr>
  </w:style>
  <w:style w:type="character" w:customStyle="1" w:styleId="20">
    <w:name w:val="页眉 Char"/>
    <w:basedOn w:val="17"/>
    <w:link w:val="12"/>
    <w:qFormat/>
    <w:uiPriority w:val="0"/>
    <w:rPr>
      <w:sz w:val="18"/>
      <w:szCs w:val="18"/>
    </w:rPr>
  </w:style>
  <w:style w:type="character" w:customStyle="1" w:styleId="21">
    <w:name w:val="页脚 Char"/>
    <w:basedOn w:val="17"/>
    <w:link w:val="11"/>
    <w:qFormat/>
    <w:uiPriority w:val="99"/>
    <w:rPr>
      <w:sz w:val="18"/>
      <w:szCs w:val="18"/>
    </w:rPr>
  </w:style>
  <w:style w:type="paragraph" w:customStyle="1" w:styleId="22">
    <w:name w:val="Char Char Char Char Char Char Char1 Char"/>
    <w:basedOn w:val="1"/>
    <w:qFormat/>
    <w:uiPriority w:val="0"/>
    <w:rPr>
      <w:rFonts w:ascii="Tahoma" w:hAnsi="Tahoma" w:eastAsia="仿宋_GB2312"/>
      <w:sz w:val="24"/>
      <w:szCs w:val="32"/>
    </w:rPr>
  </w:style>
  <w:style w:type="character" w:customStyle="1" w:styleId="23">
    <w:name w:val="正文文本缩进 Char"/>
    <w:link w:val="8"/>
    <w:qFormat/>
    <w:uiPriority w:val="0"/>
    <w:rPr>
      <w:rFonts w:ascii="楷体_GB2312" w:eastAsia="楷体_GB2312"/>
      <w:sz w:val="32"/>
    </w:rPr>
  </w:style>
  <w:style w:type="character" w:customStyle="1" w:styleId="24">
    <w:name w:val="正文文本缩进 Char1"/>
    <w:basedOn w:val="17"/>
    <w:semiHidden/>
    <w:qFormat/>
    <w:uiPriority w:val="99"/>
    <w:rPr>
      <w:rFonts w:ascii="Times New Roman" w:hAnsi="Times New Roman" w:eastAsia="宋体" w:cs="Times New Roman"/>
      <w:szCs w:val="20"/>
    </w:rPr>
  </w:style>
  <w:style w:type="character" w:customStyle="1" w:styleId="25">
    <w:name w:val="标题 Char"/>
    <w:basedOn w:val="17"/>
    <w:link w:val="15"/>
    <w:uiPriority w:val="0"/>
    <w:rPr>
      <w:rFonts w:ascii="Cambria" w:hAnsi="Cambria" w:eastAsia="宋体" w:cs="Times New Roman"/>
      <w:b/>
      <w:bCs/>
      <w:sz w:val="32"/>
      <w:szCs w:val="32"/>
    </w:rPr>
  </w:style>
  <w:style w:type="character" w:customStyle="1" w:styleId="26">
    <w:name w:val="批注框文本 Char"/>
    <w:basedOn w:val="17"/>
    <w:link w:val="10"/>
    <w:semiHidden/>
    <w:qFormat/>
    <w:uiPriority w:val="99"/>
    <w:rPr>
      <w:rFonts w:ascii="Times New Roman" w:hAnsi="Times New Roman" w:eastAsia="宋体" w:cs="Times New Roman"/>
      <w:sz w:val="18"/>
      <w:szCs w:val="18"/>
    </w:rPr>
  </w:style>
  <w:style w:type="character" w:customStyle="1" w:styleId="27">
    <w:name w:val="apple-converted-space"/>
    <w:qFormat/>
    <w:uiPriority w:val="0"/>
  </w:style>
  <w:style w:type="paragraph" w:customStyle="1" w:styleId="28">
    <w:name w:val="正文1"/>
    <w:basedOn w:val="1"/>
    <w:qFormat/>
    <w:uiPriority w:val="0"/>
    <w:pPr>
      <w:spacing w:line="360" w:lineRule="auto"/>
      <w:ind w:firstLine="480" w:firstLineChars="200"/>
    </w:pPr>
    <w:rPr>
      <w:sz w:val="24"/>
      <w:szCs w:val="24"/>
    </w:rPr>
  </w:style>
  <w:style w:type="paragraph" w:customStyle="1" w:styleId="29">
    <w:name w:val="列出段落1"/>
    <w:basedOn w:val="1"/>
    <w:qFormat/>
    <w:uiPriority w:val="0"/>
    <w:pPr>
      <w:ind w:firstLine="420" w:firstLineChars="200"/>
    </w:pPr>
    <w:rPr>
      <w:szCs w:val="24"/>
    </w:rPr>
  </w:style>
  <w:style w:type="character" w:customStyle="1" w:styleId="30">
    <w:name w:val="标题 3 Char"/>
    <w:basedOn w:val="17"/>
    <w:link w:val="5"/>
    <w:semiHidden/>
    <w:qFormat/>
    <w:uiPriority w:val="9"/>
    <w:rPr>
      <w:rFonts w:ascii="Times New Roman" w:hAnsi="Times New Roman" w:eastAsia="宋体" w:cs="Times New Roman"/>
      <w:b/>
      <w:bCs/>
      <w:sz w:val="32"/>
      <w:szCs w:val="32"/>
    </w:rPr>
  </w:style>
  <w:style w:type="character" w:customStyle="1" w:styleId="31">
    <w:name w:val="纯文本 Char1"/>
    <w:link w:val="9"/>
    <w:qFormat/>
    <w:locked/>
    <w:uiPriority w:val="0"/>
    <w:rPr>
      <w:rFonts w:ascii="Times New Roman" w:hAnsi="Times New Roman" w:cs="Times New Roman"/>
      <w:szCs w:val="21"/>
      <w:lang w:val="zh-CN" w:eastAsia="zh-CN"/>
    </w:rPr>
  </w:style>
  <w:style w:type="character" w:customStyle="1" w:styleId="32">
    <w:name w:val="纯文本 Char"/>
    <w:basedOn w:val="17"/>
    <w:semiHidden/>
    <w:qFormat/>
    <w:uiPriority w:val="99"/>
    <w:rPr>
      <w:rFonts w:ascii="宋体" w:hAnsi="Courier New" w:eastAsia="宋体" w:cs="Courier New"/>
      <w:szCs w:val="21"/>
    </w:rPr>
  </w:style>
  <w:style w:type="paragraph" w:customStyle="1" w:styleId="33">
    <w:name w:val="图片"/>
    <w:basedOn w:val="1"/>
    <w:next w:val="7"/>
    <w:qFormat/>
    <w:uiPriority w:val="0"/>
    <w:pPr>
      <w:keepNext/>
    </w:pPr>
    <w:rPr>
      <w:rFonts w:ascii="Garamond" w:hAnsi="Garamond"/>
      <w:sz w:val="22"/>
      <w:szCs w:val="24"/>
    </w:rPr>
  </w:style>
  <w:style w:type="character" w:customStyle="1" w:styleId="34">
    <w:name w:val="正文文本 2 Char"/>
    <w:basedOn w:val="17"/>
    <w:link w:val="13"/>
    <w:semiHidden/>
    <w:qFormat/>
    <w:uiPriority w:val="99"/>
    <w:rPr>
      <w:rFonts w:ascii="Times New Roman" w:hAnsi="Times New Roman" w:eastAsia="宋体" w:cs="Times New Roman"/>
      <w:szCs w:val="20"/>
    </w:rPr>
  </w:style>
  <w:style w:type="paragraph" w:styleId="35">
    <w:name w:val="List Paragraph"/>
    <w:basedOn w:val="1"/>
    <w:qFormat/>
    <w:uiPriority w:val="34"/>
    <w:pPr>
      <w:ind w:firstLine="420" w:firstLineChars="200"/>
    </w:pPr>
    <w:rPr>
      <w:rFonts w:ascii="Calibri" w:hAnsi="Calibri"/>
      <w:szCs w:val="22"/>
    </w:rPr>
  </w:style>
  <w:style w:type="character" w:customStyle="1" w:styleId="36">
    <w:name w:val="font51"/>
    <w:qFormat/>
    <w:uiPriority w:val="0"/>
    <w:rPr>
      <w:rFonts w:ascii="Arial" w:hAnsi="Arial" w:cs="Arial"/>
      <w:color w:val="000000"/>
      <w:sz w:val="18"/>
      <w:szCs w:val="18"/>
      <w:u w:val="none"/>
    </w:rPr>
  </w:style>
  <w:style w:type="character" w:customStyle="1" w:styleId="37">
    <w:name w:val="font71"/>
    <w:qFormat/>
    <w:uiPriority w:val="0"/>
    <w:rPr>
      <w:rFonts w:hint="eastAsia" w:ascii="宋体" w:hAnsi="宋体" w:eastAsia="宋体" w:cs="宋体"/>
      <w:color w:val="000000"/>
      <w:sz w:val="18"/>
      <w:szCs w:val="18"/>
      <w:u w:val="none"/>
    </w:rPr>
  </w:style>
  <w:style w:type="paragraph" w:customStyle="1" w:styleId="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9">
    <w:name w:val="标题 4 Char"/>
    <w:basedOn w:val="17"/>
    <w:link w:val="6"/>
    <w:qFormat/>
    <w:uiPriority w:val="0"/>
    <w:rPr>
      <w:rFonts w:ascii="(使用中文字体)" w:hAnsi="(使用中文字体)" w:eastAsia="Cambria Math" w:cs="(使用中文字体)"/>
      <w:b/>
      <w:bCs/>
      <w:sz w:val="28"/>
      <w:szCs w:val="28"/>
    </w:rPr>
  </w:style>
  <w:style w:type="paragraph" w:customStyle="1" w:styleId="40">
    <w:name w:val="正文_0"/>
    <w:qFormat/>
    <w:uiPriority w:val="0"/>
    <w:pPr>
      <w:widowControl w:val="0"/>
      <w:jc w:val="both"/>
    </w:pPr>
    <w:rPr>
      <w:rFonts w:ascii="幼圆" w:hAnsi="幼圆" w:eastAsia="宋体" w:cs="幼圆"/>
      <w:kern w:val="2"/>
      <w:sz w:val="21"/>
      <w:szCs w:val="22"/>
      <w:lang w:val="en-US" w:eastAsia="zh-CN" w:bidi="ar-SA"/>
    </w:rPr>
  </w:style>
  <w:style w:type="paragraph" w:customStyle="1" w:styleId="41">
    <w:name w:val="D&amp;L"/>
    <w:basedOn w:val="12"/>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42">
    <w:name w:val="xl31"/>
    <w:basedOn w:val="1"/>
    <w:qFormat/>
    <w:uiPriority w:val="0"/>
    <w:pPr>
      <w:widowControl/>
      <w:spacing w:before="100" w:beforeAutospacing="1" w:after="100" w:afterAutospacing="1"/>
      <w:jc w:val="center"/>
    </w:pPr>
    <w:rPr>
      <w:b/>
      <w:bCs/>
      <w:kern w:val="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Pages>
  <Words>47</Words>
  <Characters>47</Characters>
  <Lines>1</Lines>
  <Paragraphs>1</Paragraphs>
  <TotalTime>0</TotalTime>
  <ScaleCrop>false</ScaleCrop>
  <LinksUpToDate>false</LinksUpToDate>
  <CharactersWithSpaces>48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2016-04-08T05:36:00Z</dcterms:created>
  <dc:creator>NTKO</dc:creator>
  <cp:lastModifiedBy>聪聪</cp:lastModifiedBy>
  <dcterms:modified xsi:type="dcterms:W3CDTF">2022-06-02T06:03:38Z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0E7CDB0452FA4A1CA760879EE69B7F66</vt:lpwstr>
  </property>
</Properties>
</file>