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0" w:name="_Toc74754818"/>
      <w:r>
        <w:rPr>
          <w:rFonts w:hint="eastAsia" w:asciiTheme="minorEastAsia" w:hAnsiTheme="minorEastAsia" w:eastAsiaTheme="minorEastAsia"/>
          <w:b/>
          <w:sz w:val="28"/>
        </w:rPr>
        <w:t xml:space="preserve">  采购需求</w:t>
      </w:r>
      <w:bookmarkEnd w:id="0"/>
    </w:p>
    <w:p>
      <w:pPr>
        <w:jc w:val="center"/>
        <w:outlineLvl w:val="0"/>
        <w:rPr>
          <w:rFonts w:asciiTheme="minorHAnsi" w:hAnsiTheme="minorHAnsi" w:eastAsiaTheme="minorEastAsia" w:cstheme="minorBidi"/>
          <w:b/>
          <w:color w:val="FF0000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（仅供参考，最终以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  <w:lang w:val="en-US" w:eastAsia="zh-CN"/>
        </w:rPr>
        <w:t>谈判</w:t>
      </w:r>
      <w:r>
        <w:rPr>
          <w:rFonts w:hint="eastAsia" w:asciiTheme="minorHAnsi" w:hAnsiTheme="minorHAnsi" w:eastAsiaTheme="minorEastAsia" w:cstheme="minorBidi"/>
          <w:b/>
          <w:color w:val="FF0000"/>
          <w:sz w:val="24"/>
          <w:szCs w:val="22"/>
        </w:rPr>
        <w:t>文件为准）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="宋体" w:hAnsi="宋体" w:eastAsia="宋体"/>
          <w:sz w:val="24"/>
          <w:szCs w:val="18"/>
        </w:rPr>
        <w:t>根据《关于规范政府采购进口产品有关工作的通知》及政府采购管理部门的相关规定，下列采购需求中</w:t>
      </w:r>
      <w:r>
        <w:rPr>
          <w:rFonts w:hint="eastAsia" w:ascii="宋体" w:hAnsi="宋体" w:eastAsia="宋体"/>
          <w:sz w:val="24"/>
          <w:szCs w:val="18"/>
        </w:rPr>
        <w:t>标注进口产品的货物均</w:t>
      </w:r>
      <w:r>
        <w:rPr>
          <w:rFonts w:ascii="宋体" w:hAnsi="宋体" w:eastAsia="宋体"/>
          <w:sz w:val="24"/>
          <w:szCs w:val="18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</w:rPr>
        <w:t>产品</w:t>
      </w:r>
      <w:r>
        <w:rPr>
          <w:rFonts w:ascii="宋体" w:hAnsi="宋体" w:eastAsia="宋体"/>
          <w:sz w:val="24"/>
          <w:szCs w:val="18"/>
        </w:rPr>
        <w:t>，但不限制满足</w:t>
      </w:r>
      <w:r>
        <w:rPr>
          <w:rFonts w:hint="eastAsia" w:ascii="宋体" w:hAnsi="宋体" w:eastAsia="宋体"/>
          <w:sz w:val="24"/>
          <w:szCs w:val="18"/>
        </w:rPr>
        <w:t>谈判</w:t>
      </w:r>
      <w:r>
        <w:rPr>
          <w:rFonts w:ascii="宋体" w:hAnsi="宋体" w:eastAsia="宋体"/>
          <w:sz w:val="24"/>
          <w:szCs w:val="18"/>
        </w:rPr>
        <w:t>文件要求的国内产品参与竞争</w:t>
      </w:r>
      <w:r>
        <w:rPr>
          <w:rFonts w:hint="eastAsia" w:ascii="宋体" w:hAnsi="宋体" w:eastAsia="宋体"/>
          <w:sz w:val="24"/>
          <w:szCs w:val="18"/>
        </w:rPr>
        <w:t>。未标注进口产品的货物均</w:t>
      </w:r>
      <w:r>
        <w:rPr>
          <w:rFonts w:ascii="宋体" w:hAnsi="宋体" w:eastAsia="宋体"/>
          <w:sz w:val="24"/>
          <w:szCs w:val="18"/>
        </w:rPr>
        <w:t>为拒绝采购进口产品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.下列采购需求中：如属于《节能产品政府采购品目清单》中政府强制采购的节能产品，则供应商所投产品须具有市场监管总局公布的《参与实施政府采购节能产品认证机构目录》中的认证机构出具的、处于有效期内的节能产品认证证书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3.</w:t>
      </w:r>
      <w:r>
        <w:rPr>
          <w:rFonts w:ascii="宋体" w:hAnsi="宋体" w:eastAsia="宋体"/>
          <w:sz w:val="24"/>
          <w:szCs w:val="18"/>
        </w:rPr>
        <w:t>下列采购需求中：标注▲的产品</w:t>
      </w:r>
      <w:r>
        <w:rPr>
          <w:rFonts w:hint="eastAsia" w:ascii="宋体" w:hAnsi="宋体" w:eastAsia="宋体"/>
          <w:sz w:val="24"/>
          <w:szCs w:val="18"/>
        </w:rPr>
        <w:t>（核心产品）</w:t>
      </w:r>
      <w:r>
        <w:rPr>
          <w:rFonts w:ascii="宋体" w:hAnsi="宋体" w:eastAsia="宋体"/>
          <w:sz w:val="24"/>
          <w:szCs w:val="18"/>
        </w:rPr>
        <w:t>，</w:t>
      </w:r>
      <w:r>
        <w:rPr>
          <w:rFonts w:hint="eastAsia" w:ascii="宋体" w:hAnsi="宋体" w:eastAsia="宋体"/>
          <w:sz w:val="24"/>
          <w:szCs w:val="18"/>
        </w:rPr>
        <w:t>供应商</w:t>
      </w:r>
      <w:r>
        <w:rPr>
          <w:rFonts w:ascii="宋体" w:hAnsi="宋体" w:eastAsia="宋体"/>
          <w:sz w:val="24"/>
          <w:szCs w:val="18"/>
        </w:rPr>
        <w:t>在</w:t>
      </w:r>
      <w:r>
        <w:rPr>
          <w:rFonts w:hint="eastAsia" w:ascii="宋体" w:hAnsi="宋体" w:eastAsia="宋体"/>
          <w:sz w:val="24"/>
          <w:szCs w:val="18"/>
        </w:rPr>
        <w:t>响应</w:t>
      </w:r>
      <w:r>
        <w:rPr>
          <w:rFonts w:ascii="宋体" w:hAnsi="宋体" w:eastAsia="宋体"/>
          <w:sz w:val="24"/>
          <w:szCs w:val="18"/>
        </w:rPr>
        <w:t>文件《主要</w:t>
      </w:r>
      <w:r>
        <w:rPr>
          <w:rFonts w:hint="eastAsia" w:ascii="宋体" w:hAnsi="宋体" w:eastAsia="宋体"/>
          <w:sz w:val="24"/>
          <w:szCs w:val="18"/>
        </w:rPr>
        <w:t>成交标的</w:t>
      </w:r>
      <w:r>
        <w:rPr>
          <w:rFonts w:ascii="宋体" w:hAnsi="宋体" w:eastAsia="宋体"/>
          <w:sz w:val="24"/>
          <w:szCs w:val="18"/>
        </w:rPr>
        <w:t>承诺函》中填写名称、</w:t>
      </w:r>
      <w:r>
        <w:rPr>
          <w:rFonts w:hint="eastAsia" w:ascii="宋体" w:hAnsi="宋体" w:eastAsia="宋体"/>
          <w:sz w:val="24"/>
          <w:szCs w:val="18"/>
        </w:rPr>
        <w:t>品牌、</w:t>
      </w:r>
      <w:r>
        <w:rPr>
          <w:rFonts w:ascii="宋体" w:hAnsi="宋体" w:eastAsia="宋体"/>
          <w:sz w:val="24"/>
          <w:szCs w:val="18"/>
        </w:rPr>
        <w:t>规格、型号、数量、单价等信息</w:t>
      </w:r>
      <w:r>
        <w:rPr>
          <w:rFonts w:hint="eastAsia" w:ascii="宋体" w:hAnsi="宋体" w:eastAsia="宋体"/>
          <w:sz w:val="24"/>
          <w:szCs w:val="18"/>
        </w:rPr>
        <w:t>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4. 所投医疗器械须具有医疗器械注册证，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文件中须提供完整的证书扫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b/>
          <w:sz w:val="24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描件，否则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无效</w:t>
      </w:r>
      <w:r>
        <w:rPr>
          <w:rFonts w:hint="eastAsia" w:asciiTheme="minorEastAsia" w:hAnsiTheme="minorEastAsia" w:eastAsiaTheme="minorEastAsia"/>
          <w:b/>
          <w:sz w:val="24"/>
          <w:szCs w:val="28"/>
          <w:lang w:eastAsia="zh-CN"/>
        </w:rPr>
        <w:t>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5.标注“★”条款为产品关键性能参数，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须完全满足或优于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谈判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文件要求，否则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无效。未标注“★”条款如出现负偏离或未响应的，由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谈判小组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讨论后酌情评审。  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6．技术参数及要求中，标注“提供相关证明材料”的条款，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需在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谈判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文件中提供能体现该条款要求的证明材料扫描件，如：医疗器械注册证、检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测报告、技术白皮书、产品彩页、功能截图、说明书、官网截图等，提供其中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之一即可，否则视为负偏离（为便于评审，建议</w:t>
      </w:r>
      <w:r>
        <w:rPr>
          <w:rFonts w:hint="eastAsia" w:asciiTheme="minorEastAsia" w:hAnsiTheme="minorEastAsia" w:eastAsiaTheme="minorEastAsia"/>
          <w:b/>
          <w:sz w:val="24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/>
          <w:b/>
          <w:sz w:val="24"/>
          <w:szCs w:val="28"/>
        </w:rPr>
        <w:t>对证明材料中的关键参</w:t>
      </w:r>
    </w:p>
    <w:p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 xml:space="preserve">数进行标注）。 </w:t>
      </w:r>
    </w:p>
    <w:p>
      <w:pPr>
        <w:spacing w:line="360" w:lineRule="auto"/>
        <w:ind w:firstLine="437"/>
        <w:rPr>
          <w:rFonts w:ascii="宋体" w:hAnsi="宋体" w:eastAsia="宋体"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供货安装并验收合格后30个工作日内支付合同金额的50%，供货安装并验收合格一年后支付合同金额的40%，余款待免费质保期满后一次性无息付清。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合肥市妇幼保健院，采购人指定地点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合同生效后90个日历天内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3216" w:type="pct"/>
            <w:vAlign w:val="center"/>
          </w:tcPr>
          <w:p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验收合格之日起两年</w:t>
            </w:r>
          </w:p>
        </w:tc>
      </w:tr>
    </w:tbl>
    <w:p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二、货物需求一览表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221"/>
        <w:gridCol w:w="1245"/>
        <w:gridCol w:w="1350"/>
        <w:gridCol w:w="1454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高档麻醉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监护仪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心电监护仪1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highlight w:val="none"/>
              </w:rPr>
              <w:t>心电监护仪2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 xml:space="preserve">胎儿监护仪1         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胎儿监护仪2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胎心监护中央总控机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@仿宋_GB231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分娩阵痛体验仪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@仿宋_GB2312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工业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国产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bCs/>
          <w:sz w:val="24"/>
          <w:szCs w:val="18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18"/>
        </w:rPr>
        <w:br w:type="page"/>
      </w:r>
    </w:p>
    <w:p>
      <w:pPr>
        <w:spacing w:line="360" w:lineRule="auto"/>
        <w:ind w:firstLine="241" w:firstLineChars="100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二、货物需求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963"/>
        <w:gridCol w:w="5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/>
                <w:sz w:val="24"/>
                <w:szCs w:val="18"/>
              </w:rPr>
              <w:t>▲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高档麻醉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监护仪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 主机功能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1.1 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插件式监护仪，不小于15寸彩色TFT医用级触摸液晶显示屏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1.2 Linux工业级操作系统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1.3 采用金属外壳、无风扇及低功耗设计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1.4 内置模块插槽，所有监测参数模块可直接插入，且支持热插拔操作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1.5同屏显示波形通道数≥8，参数窗口≥20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1.6四级文字和三级声、光报警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1.7具有高清分屏显示功能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1.8可自定义各参数波形颜色及数字位置，窗口大小可自动调节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 监测功能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2.1 监测参数：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2.1.1 ★标配：心电、脉搏、血氧饱和度、无创血压、呼吸、双体温、四有创、呼气末二氧化碳、热稀释法心输出量CO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2.2 心电监测：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2.2.1 标配心电导联：3/5导联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2.2.2 ST段测量功能可用于新生儿、儿童及成人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2.2.3 同步多导联心律失常分析，可同时对≥4道ECG心电导联进行分析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2.2.4 可对房颤进行自动识别、分析及报警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2.2.5 具有急性心肌缺血预测评分系统。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2.2.6起搏器监测功能：单腔或双腔。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2.3 无创血压监测：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2.3.1 ★采用双管路技术，监测时间快速，监测数据准确。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2.3.2 测量模式：手动、自动、连续。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2.4  脉搏血氧饱和度监测：抗运动干扰、防低灌注，可升级选配Masimo血氧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2.5  呼吸监测：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2.5.1 测量方法：胸阻抗法、CO2监测法或监测来源自动识别。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2.5.2 呼吸频率范围：4 ~ 120次/分钟或大于此范围。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2.6  体温监测：采用YSI工业级温度测量技术，精准度高。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2.7 有创压力监测： 测量范围 -48 ~ 320 mmHg或大于此范围。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2.8  具备手术体积描计指数SPI监测，反映全麻术中镇痛效果。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2.9  CO2监测采用旁流法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3.0  网络功能：具备单机联网功能；远程网络维护系统；心电管理系统的双向通讯、存储、查看及打印输出等功能。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心电监护仪1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1、监护参数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一体化多参数监护仪，具备心电、呼吸、无创血压、血氧饱和度、脉率和双通道体温监测功能。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2、显示 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2.1屏幕尺寸：≥8英寸彩色显示屏，分辨率不低于800*600。支持同屏显示11道波形，以同时观察丰富的信息。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2.2主界面上支持自定义快捷键操作，且可根据不同医护人员使用习惯，调整快捷键数量和顺序，提高科室工作效率。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2.3支持待机模式、夜间模式、演示模式、隐私模式、插管模式、NFC模式等。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3、数据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3.1支持AES 128位加密和TLS 256位数据传输加密。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3.2支持网络流量监控及控制，提供更高的网络安全管控，防止恶意软件攻击。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4、性能特点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4.1在任何滤波模式下均可监测ST值。提供心电ST段分析功能，支持在专门的窗口中分组显示心脏前壁、下壁和侧壁的ST实时片段和参考片段。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★4.2在诊断模式下，支持不低于94dB的共模抑制比；在监护、手术模式下，支持不低于105dB的共模抑制比。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★4.3支持0.67Hz的高通滤波，确保波形有更好的稳定性。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4.4支持用户自行安装激光打印机驱动。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4.5配备一体式可折叠收纳的挂床提手，不需要额外的工具安装挂床装置，便于挂床安装。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4.6监护仪设计使用年限8年，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文件中提供机器标贴照片。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4.7具备技术报警和生理报警两个独立的报警灯位置，通过不一样的颜色显示两种类型的报警，能够同时显示两种报警，有利于医护人员远距离辨识报警情况。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心电监护仪2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一、监护参数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1.一体化多参数监护仪，具备心电、呼吸、无创血压、血氧饱和度、脉率和双通道体温监测功能，产品具备国家食品药品监督管理局颁发的Ⅲ类医疗器械注册证。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2.标配同品牌呼末二氧化碳（EtCO2），标配有创血压（IBP），支持CVP、ART、PA、PAWP测量，支持选配麻醉气体（AG）和心排（C.O.）。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二、显示 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1.屏幕尺寸≥12英寸彩色显示屏，分辨率≥800×600。支持同屏显示11道波形，以同时观察丰富的信息。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2.主界面上支持自定义快捷键操作，且可根据不同医护人员使用习惯，调整快捷键数量和顺序，提高科室工作效率，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须在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文件中提供机器实物图片直观证明。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3.支持待机模式、夜间模式、演示模式、隐私模式、插管模式、NFC模式等。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三、数据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1.支持AES 128位加密和TLS 256位数据传输加密，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在响应文件中提供机器实物图片的相应界面。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2.★支持网络流量监控及控制，提供更高的网络安全管控，防止恶意软件攻击。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（需提供机器界面图片）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四、性能特点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1.在任何滤波模式下均可监测ST值。提供心电ST段分析功能，支持在专门的窗口中分组显示心脏前壁、下壁和侧壁的ST实时片段和参考片段。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2.★在诊断模式下，支持不低于94dB的共模抑制比；在监护、手术模式下，支持不低于105dB的共模抑制比。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（需提供图片和厂家证明文件）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3.★支持0.67Hz的高通滤波，确保波形有更好的稳定性。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（需提供机器界面图片）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4.无创血压提供手动、自动、连续、序列四种测量模式。自动模式支持自定义设置血压测量间隔，间隔时间支持从1-480分钟内的任意整数数值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5.标配一体式可折叠收纳的挂床提手，不需要额外的工具安装挂床装置，便于挂床安装。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6.监护仪设计使用年限8年；</w:t>
            </w:r>
            <w:r>
              <w:rPr>
                <w:rFonts w:hint="eastAsia" w:asciiTheme="minorEastAsia" w:hAnsiTheme="minorEastAsia" w:eastAsiaTheme="minorEastAsia"/>
                <w:b/>
                <w:bCs w:val="0"/>
                <w:sz w:val="24"/>
                <w:szCs w:val="24"/>
              </w:rPr>
              <w:t>在投标文件中提供机器标贴照片作为证明资料。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7.具备技术报警和生理报警两个独立的报警灯位置，通过不一样的颜色显示两种类型的报警，能够同时显示两种报警，有利于医护人员远距离辨识报警情况。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胎儿监护仪1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1、监护功能：对胎儿胎心率、宫缩压力、胎动进行监测。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2、设备外观：便携式设计,一体化探头支架 ，中文操作界面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3、屏幕显示：8寸以上翻转彩色TFT显示,同屏显示监护数据与曲线具有多种显示模式。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4、胎心探头：宽波束多晶片IP68防水探头，超声频率：2MHz，超声输出功率：＜3mW/㎝2。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5、胎心测量范围：30-240BPM，精度±1BPM。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6、宫缩压力探头：0-100相对压力，宫缩压力非线性误差≤5%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7、报警功能：机顶报警光柱，声光报警，报警范围、报警声音大小，报警延时可调，具有报警文字提示和回顾功能。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8、存储功能：档案自动存储和回放，关机后数据不丢失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9、打印功能：内置热敏打印机，打印纸宽度112㎜，走纸速度1、2、3㎝/可调，易装纸机构，装纸方便可靠。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10、打印回放：支持高速回放打印，支持选段打印、选档案打印及自动停止打印。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11、网络通讯：内置RS485接口、以太网接口、无线通讯模块，可通过有线、无线网络与中央站组成网络系统。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12、★探头防水功能：胎心率探头、宫缩压力探头满足IP68防水等级。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13、★升级功能：可升级无线探头监护、双床位功能（单机可独立档案直接监测双名孕妇）。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14、★兼容性：可无条件接入我院现有（三瑞、莲印、奥生）产科中央监护网络系统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胎儿监护仪2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1、监护参数：胎心率、宫缩压力、胎动，胎儿活动图，多胞胎模式支持显示、打印分离的或混合的FHR轨迹，可真实反映多个胎心的差异的心率、宫缩压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力、胎动（自动胎动，胎儿活动图），支持连接母参监护仪，展示母亲体征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★2、一体化无线探头，探头直接侧挂于设备主机两侧卡槽内。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3、显示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＞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10寸高分辨率液晶显示屏、电容式触摸屏，支持手写输入，探头显示孕妇姓名、FHR、TOCO数据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4、超声工作频率：1- 2 MHz，超声输出功率：Iob&lt;10Mw、晶片数量：≥10。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★5、探头具备IP68级防水等级,支持水中分娩。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6、探头续航时间：探头连续使用时间≥10小时。支持同品牌无线探头间配对组合，满足低电量时无线探头接续监护。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7、探头无线通讯距离，无障碍通讯距离≥50米。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★8、探头支持全息数据存储：探头可全息存储长时间胎心率、宫缩、胎动及胎心音。保证恶劣通讯环境下的数据完整。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9、支持单胎、双胎，三胞胎监护，同品牌探头可动态配置多胞胎监护。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10、档案存储：可存储档案数≥2万个，数据自动存储，监护时长无限制、支持监护数据档案回放，支持胎心音存储和声音回放，关机后数据不丢失。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★11、具备文字可编辑输入事件记录功能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12、打印机支持：可直连WiFi打印机或网络打印机，支持不同走纸速度的设置。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13、硬件接口：内置多种数据接口，支持与院内信息系统对接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14、报警提醒：多功能报警，监护报警及操作报警，支持添加事件记录。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胎心监护中央总控机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需支持对全院的胎监原始数据、档案报告进行集中管理：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1.1、监护所有数据需统一存放在院内服务器，统一集中管理。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1.2、需支持定时对监护档案进行增量/全量备份，确保系统数据完整、可靠；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★1.3、需支持在院内任意授权的医生、护士电脑端，移动客户端，查看实时监护数据或历史监护数据，不受院区、科室物理距离、地址影响；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1.4、支持按不同病区、产房、门诊等不同区域进行分区账号管理，包括该区域的设备数据、病人数据、用户数据等。支持不同区域间的设备借调、归还管理。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需具有兼容目前国内外主流监护仪品牌的接入能力，可通过外接设备支持对院内现有胎儿监护设备进行联网调试，确保医院对胎儿监护主机设备采购的自主性； 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★2.1、需支持无条件兼容院内现有品牌（三瑞、莲印）监护设备的联网接入，并支持将现有设备直接接入医院现有Wi-Fi网络；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2.2、系统及硬件设备需支持企业级数据加密方式，支持双频频段（2.4G、5G频段），并支持可靠接入院内现有Wi-Fi网络，确保医院对无线网络的统一管理；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2.3、设备联网与服务器需支持Websocket全双工通信协议。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3. 系统应具有数据续传接收能力，在无线网络信号不佳、甚至断网情况下，在网络恢   复时，仍可将近20分钟及以上的历史数据重传至服务器。确保数据安全性、可靠性。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4．系统应具有完整的中央监护系统功能：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4.1、实时告警：支持设置胎心报警区间、支持国际标准的三级（高中低）报警系统，以及设备离线警示、支持报警延时设置、支持监护结束提醒。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4.2、报告生成：支持全程CTG曲线回放，可选段诊断、并支持在后台添加医嘱模板。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4.3、分析评分：具有Fischer、Krebs、NST、CST、Sogc分类评分法等多种智能评分方法，支持医生进行手动修改人工校正分析结果。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4.4、支持对报告模板进行定制。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5.  系统需符合院内现有医技系统信息化管理要求，及为后续系统提供持续发展支撑：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5.1、需与医院现有信息化系统进行对接，实现门诊、住院信息同步、支持住院项目申请单确费、医技报告发布流程。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5.2、系统支持his跳转调阅胎监档案页，查看该病人的所有在院历史档案数据（门诊及住院）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★5.2、需具有移动端app软件，可利用本院已有PDA，通过移动端应用实现监护扫码建档、结束监护、监护管理、设备管理等功能，最大限度提高医护工作效率，减少医护信息录入。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5.3、系统的设计必须具有一定的扩展能力，留有升级的余地，保证系统的可扩充性、适应院内信息化业务的持续发展需要。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6.系统需具备超大的业务承载量，预留后续应用规模拓展需要：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6.1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机器应当满足支持不少于250台监护设备入网、50个工作站客户端实时运行、200台PDA设备、100个医生工作站查阅报告的并发承载。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7.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系统需具有专用后台管理页面、后台日志记录，供院方及维护人员使用：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7.1、后台管理页可为维护人员提供各项工具、进行系统账号管理、监护档案管理、设备信息管理态等，并支持在院内任意终端进行页面登录；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7.2、系统对每项关键操作需留存日志记录，需对操作动作、用户IP地址进行完整记录保证可追溯。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15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分娩阵痛体验仪</w:t>
            </w:r>
          </w:p>
        </w:tc>
        <w:tc>
          <w:tcPr>
            <w:tcW w:w="3411" w:type="pct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1、输出通道：四通道任意组合选择输出，最多支持四人同时体验。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2、1-100能量档输出，多重保障措施，安全可控。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3、评级模式：1-10级。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4、操作模式：全触摸屏。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5、工作电压：220V 50HZ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6、最大运行功率≤50W。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7、脉冲频率：基波250Hz,载波7142Hz。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8、波形：双向方波。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9、计时精度： 1S±5%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10、体验模式：辅助分娩、自然分娩、分娩镇痛、痛经模式、胎动模式。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11、自然分娩模式分级体验时间可自动设置。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12、分娩过程体验场景全程语音播报、气氛热烈。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13、脚踏开关便利体验者随时停止能量输出，结束体验。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14、保护和安全： 过温度保护、过流保护。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15、7寸全触摸高清IPS显示，界面风格简洁、操作简单，易学易懂。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16、后台能量调整、语音播报音量调整。</w:t>
            </w:r>
          </w:p>
        </w:tc>
      </w:tr>
    </w:tbl>
    <w:p>
      <w:pPr>
        <w:spacing w:line="360" w:lineRule="auto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</w:p>
    <w:p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三、报价要求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本项目各包报总价，报价包含完成本项目所需的全部费用。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4"/>
        </w:rPr>
        <w:t>后采购人不</w:t>
      </w:r>
    </w:p>
    <w:p>
      <w:pPr>
        <w:spacing w:line="360" w:lineRule="auto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再另行追加任何费用，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/>
          <w:sz w:val="24"/>
        </w:rPr>
        <w:t>应自行考虑报价风险。</w:t>
      </w:r>
    </w:p>
    <w:p>
      <w:pPr>
        <w:numPr>
          <w:ilvl w:val="0"/>
          <w:numId w:val="0"/>
        </w:numPr>
        <w:spacing w:line="360" w:lineRule="auto"/>
        <w:outlineLvl w:val="1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B"/>
    <w:rsid w:val="00422429"/>
    <w:rsid w:val="004B4EAA"/>
    <w:rsid w:val="00500F61"/>
    <w:rsid w:val="00792DA6"/>
    <w:rsid w:val="00A977A1"/>
    <w:rsid w:val="00BC5B87"/>
    <w:rsid w:val="00C721BA"/>
    <w:rsid w:val="00D1455B"/>
    <w:rsid w:val="00F24C54"/>
    <w:rsid w:val="1A6852D8"/>
    <w:rsid w:val="41ED1974"/>
    <w:rsid w:val="50AA7C13"/>
    <w:rsid w:val="5A70131A"/>
    <w:rsid w:val="5D8C146A"/>
    <w:rsid w:val="611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Theme="minorEastAsia" w:cstheme="minorBidi"/>
      <w:szCs w:val="2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0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</w:pPr>
    <w:rPr>
      <w:kern w:val="0"/>
      <w:sz w:val="24"/>
      <w:szCs w:val="20"/>
    </w:rPr>
  </w:style>
  <w:style w:type="character" w:customStyle="1" w:styleId="11">
    <w:name w:val="页眉 Char"/>
    <w:basedOn w:val="8"/>
    <w:link w:val="5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1101</Words>
  <Characters>1101</Characters>
  <Lines>100</Lines>
  <Paragraphs>183</Paragraphs>
  <TotalTime>0</TotalTime>
  <ScaleCrop>false</ScaleCrop>
  <LinksUpToDate>false</LinksUpToDate>
  <CharactersWithSpaces>2019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2021-08-23T08:53:00Z</dcterms:created>
  <dc:creator>Administrator</dc:creator>
  <cp:lastModifiedBy>Administrator</cp:lastModifiedBy>
  <dcterms:modified xsi:type="dcterms:W3CDTF">2021-12-09T08:48:30Z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