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highlight w:val="red"/>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w:t>
            </w:r>
            <w:bookmarkStart w:id="0" w:name="_GoBack"/>
            <w:bookmarkEnd w:id="0"/>
            <w:r>
              <w:rPr>
                <w:rFonts w:hint="default" w:ascii="Times New Roman" w:hAnsi="Times New Roman" w:eastAsia="宋体" w:cs="Times New Roman"/>
                <w:b w:val="0"/>
                <w:sz w:val="24"/>
                <w:u w:val="none"/>
                <w:lang w:val="en-US" w:eastAsia="zh-CN"/>
              </w:rPr>
              <w:t>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color w:val="auto"/>
                <w:sz w:val="24"/>
                <w:szCs w:val="18"/>
                <w:highlight w:val="none"/>
              </w:rPr>
              <w:t>▲</w:t>
            </w:r>
            <w:r>
              <w:rPr>
                <w:rFonts w:hint="eastAsia" w:ascii="Times New Roman" w:hAnsi="Times New Roman" w:cs="Times New Roman" w:eastAsiaTheme="minorEastAsia"/>
                <w:sz w:val="24"/>
                <w:szCs w:val="24"/>
                <w:vertAlign w:val="baseline"/>
                <w:lang w:val="en-US" w:eastAsia="zh-CN"/>
              </w:rPr>
              <w:t>全自动PCR仪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全自动生化分析仪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color w:val="auto"/>
                <w:sz w:val="24"/>
                <w:szCs w:val="18"/>
                <w:highlight w:val="none"/>
              </w:rPr>
              <w:t>▲</w:t>
            </w:r>
            <w:r>
              <w:rPr>
                <w:rFonts w:hint="eastAsia" w:ascii="Times New Roman" w:hAnsi="Times New Roman" w:cs="Times New Roman" w:eastAsiaTheme="minorEastAsia"/>
                <w:sz w:val="24"/>
                <w:szCs w:val="24"/>
                <w:vertAlign w:val="baseline"/>
                <w:lang w:val="en-US" w:eastAsia="zh-CN"/>
              </w:rPr>
              <w:t>全自动核酸提取仪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4</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低速离心机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5</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高速离心机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立式压力蒸汽灭菌器</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恒温金属浴</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恒温培养箱</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洁净工作台</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2</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微量加样器</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6</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细菌性阴道病微生态检测分析仪</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12</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荧光显微镜</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（一）全自动PCR仪</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1、样本容量：（96孔）2×48*0.2ml(双模块)</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2、适用耗材：0.2mlPCR管、8连管、48孔板</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3、反应时间：50分钟内完成常规试验</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4、光 源：大功率LED(免维护)</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5、检测器：高灵敏度光电传感器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6、动力学范围：1-1010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7、灵敏度：检测单拷贝</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8、重复性：CV＜0.5%</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9、可信度区分：1000与2000拷贝浓度差异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10、反应容积：15ul-100ul</w:t>
      </w:r>
    </w:p>
    <w:p>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eastAsia="宋体"/>
          <w:sz w:val="24"/>
          <w:szCs w:val="18"/>
          <w:lang w:val="en-US" w:eastAsia="zh-CN"/>
        </w:rPr>
        <w:t>11、荧光激发波长：通道1：470nm，通道2：530nm，通道3：580nm，通道4：630nm ，</w:t>
      </w:r>
      <w:r>
        <w:rPr>
          <w:rFonts w:hint="eastAsia" w:ascii="宋体" w:hAnsi="宋体" w:eastAsia="宋体"/>
          <w:sz w:val="24"/>
          <w:szCs w:val="18"/>
          <w:highlight w:val="none"/>
          <w:lang w:val="en-US" w:eastAsia="zh-CN"/>
        </w:rPr>
        <w:t>通道5：选配 ，通道6：选配（选配内容不在本此报价内）</w:t>
      </w:r>
    </w:p>
    <w:p>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12、荧光检测波长：通道1：510nm，通道2：565nm，通道3：620nm，通道4：665 nm ，通道5：选配 ， 通道6：选配（选配内容不在本此报价内）</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13、检测的荧光素及染料：通道1：FAM、SYBR GREEN， 通道2：VIC、HEX、JOE、TET、TAMRA、CY3 ，通道3：ROX、TEXAS RED ，通道4： CY5</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14、控温模式：模块控温、试管控温</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15、多重荧光检测：4重检测，无需交叉干扰校正</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16、控温方法：半导体热电模块</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17、升降温速率：4.0℃/S</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（二）全自动生化分析仪</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★1、比色法速度：≥2000测试/小时</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2、双试剂同时分析项目：≥54项</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3、样品种类：血清、血浆、尿液或其他类型</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4、分析方法：终点法、两点法、动力学法、比浊法等多种方法</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★5、波长个数：＞12个，并具备540nm波长</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6、分光系统：光栅后分光技术</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7、吸光度线性范围：0-3.0OD</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8、样本容器：多种规格的原始管（真空采血管）或样品杯可混合使用</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9、具备样本凝块检出功能及样品探针堵孔报警系统和探针防撞保护功能</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★10、进样方式：三条轨道处理进样，并与现有仪器无缝连接</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★11、采用恒温液干式孵育，节约成本</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12、试剂仓：冷藏功能，R1+R2试剂位≥100个</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13、配备样本和试剂条形码，具备试管液面自动跟踪功能</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★14、采用石英玻璃反应杯，反应杯数量≥408个</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15、最小总反应体积：≤80uL</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★16、最小样品体积：≤1uL（0.1uL步进）</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★17、R1和R2最小试剂体积均：≤10uL（1uL步进）</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18、试剂全开放，并且可提供同品牌全套原装试剂、校准品和质控品供采购人选择，保证完整溯源性</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19、内置Westgard质控规则、TwinPlot和LeveyJennings图形规则</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20、标准配置RS-232C接口，具备单/双向通讯，可进行远程诊断</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21、操作方便：可用鼠标、键盘或触摸屏等方式进行操作</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22、预装Windows图形化全中文操作平台</w:t>
      </w:r>
    </w:p>
    <w:p>
      <w:pPr>
        <w:spacing w:line="360" w:lineRule="auto"/>
        <w:ind w:firstLine="437"/>
        <w:rPr>
          <w:rFonts w:hint="eastAsia" w:ascii="宋体" w:hAnsi="宋体" w:eastAsia="宋体"/>
          <w:sz w:val="24"/>
          <w:szCs w:val="18"/>
          <w:lang w:val="en-US" w:eastAsia="zh-CN"/>
        </w:rPr>
      </w:pPr>
      <w:r>
        <w:rPr>
          <w:rFonts w:hint="eastAsia" w:ascii="宋体" w:hAnsi="宋体" w:eastAsia="宋体"/>
          <w:sz w:val="24"/>
          <w:szCs w:val="18"/>
          <w:lang w:val="en-US" w:eastAsia="zh-CN"/>
        </w:rPr>
        <w:t>23、故障诊断：具备智能故障检测及在线帮助功能，可提示软硬件系统的故障原因和部位</w:t>
      </w:r>
    </w:p>
    <w:p>
      <w:pPr>
        <w:spacing w:line="360" w:lineRule="auto"/>
        <w:ind w:firstLine="437"/>
        <w:rPr>
          <w:rFonts w:hint="eastAsia" w:ascii="宋体" w:hAnsi="宋体" w:eastAsia="宋体"/>
          <w:sz w:val="24"/>
          <w:szCs w:val="18"/>
          <w:lang w:val="en-US" w:eastAsia="zh-CN"/>
        </w:rPr>
      </w:pPr>
      <w:r>
        <w:rPr>
          <w:rFonts w:hint="eastAsia" w:ascii="宋体" w:hAnsi="宋体" w:eastAsia="宋体"/>
          <w:b/>
          <w:bCs/>
          <w:sz w:val="24"/>
          <w:szCs w:val="18"/>
          <w:lang w:val="en-US" w:eastAsia="zh-CN"/>
        </w:rPr>
        <w:t>（三）全自动核酸提取仪</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1、操作体积50-1000 uL</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2、操作时间30-50分钟/次</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3、操作样品数1-32个/次</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4、使用电源100-240 V</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5、可容纳不少于100组程序</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6、具有紫外光灯杀菌功能</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（四）低速离心机</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1、最高转速：≥4000rpm</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2、最大相对离心力：≥2250×g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3、最大容量：≥6×50ml</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4、定时范围：1min- 99min</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5、转速精度：不低于±10r/min </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6、离心腹直径：约Φ280mm</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（五）高速离心机</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1、最高转速：≥21000mpm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2、最大相对离心力：≥30642×g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3、最大容量：≥4x750ml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4、定时范：1min-99min</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5、转速精度:不低于±10r/min</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6、离心腔直径：约Φ420mm</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（六）立式压力蒸汽灭菌器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1、容积：≥75L</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2、保温时间：1-99.99（分钟或小时）</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3、不锈钢材质制成；</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4、轻启翻盖结构，上盖自动弹起；</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5、微电脑程序控制灭菌程序中的排放冷空气、加热、保温计时和泄压方法；</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6、电脑板具有PID功能，通过自整定修正加热参数，可以防止冲温，控温精度达到±0.5℃以内；</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7、低水位控制功能，水位不足自动停止加热并有指示提示；</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8、具有“内循环”功能，无蒸汽释放到室内；</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9、温度超过设定值2℃，自动停止加热，同时声光报警；</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10、灭菌器腔内有压力不能开盖的安全措施；</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（七）恒温金属浴</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1、温度设置范围：0℃~100℃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2、控温范围：室温＋5℃~100℃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3、升温时间：</w:t>
      </w:r>
      <w:r>
        <w:rPr>
          <w:rFonts w:hint="eastAsia" w:ascii="宋体" w:hAnsi="宋体" w:eastAsia="宋体"/>
          <w:sz w:val="24"/>
          <w:szCs w:val="18"/>
          <w:lang w:val="en-US" w:eastAsia="zh-CN"/>
        </w:rPr>
        <w:tab/>
      </w:r>
      <w:r>
        <w:rPr>
          <w:rFonts w:hint="eastAsia" w:ascii="宋体" w:hAnsi="宋体" w:eastAsia="宋体"/>
          <w:sz w:val="24"/>
          <w:szCs w:val="18"/>
          <w:lang w:val="en-US" w:eastAsia="zh-CN"/>
        </w:rPr>
        <w:t>≤12分钟（25℃~100℃）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4、显示精度：0.1℃</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5、控温精度：≤±0.3℃</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6、温度均匀性：≤±0.3℃</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7、时间设置：1min~99h，59min/∞</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8、多点循环运行：支持（可以循环数99次）</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9、开机自动运行：支持</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10、多点运行：支持（5点）</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11、自动预热：支持</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12、断电自动恢复：支持</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（八）恒温培养箱</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1、屏幕类型 ：触摸屏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2、公称容积（L） ：≥88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3、温度控制方式 ：PT100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4、温度控制范围 ：Rt+5--85℃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5、温度波动（℃） ：±1（@37）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6、温度均匀性（℃） ：±2（@37） </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 xml:space="preserve">7、环境温度（℃） </w:t>
      </w:r>
      <w:r>
        <w:rPr>
          <w:rFonts w:hint="eastAsia" w:ascii="宋体" w:hAnsi="宋体" w:eastAsia="宋体"/>
          <w:sz w:val="24"/>
          <w:szCs w:val="18"/>
          <w:highlight w:val="none"/>
          <w:lang w:val="en-US" w:eastAsia="zh-CN"/>
        </w:rPr>
        <w:t>：5-30</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（九）洁净工作台</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1、洁净等级：100级@≥0.5μm</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2、菌落数：≤0.5个/皿．时（Φ90㎜培养平皿）</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3、平均风速：0.25m～0.45/m/s(快、慢双速）</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4、噪音：≤62dB(A)</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5、振动半峰值：≤0.5μm(x.y.z方向）</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（十）微量加样器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1、单道可调量程</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2、量程：0.5μL—10μL，10μL—100μL,100μL—1000μL。</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3、系统误差：±0.6%~±8%</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（十一）细菌性阴道病微生态检测分析仪</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1、设备组成：该设备由自动化染色仪、形态学镜检模块（含自动镜检设备）、功能学检测工作站及微生态评价软件组成</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★2、连续进样时检测速度：革兰氏染色≥50张/小时；自动镜检≥60张/小时；功能学检测≥60人份/小时；自动镜检和功能检测均自动判断结果。</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3、镜检系统：同时具备明视野、暗视野、相差视野（正相差、偏相差），并可快速转换；无极变倍、同步放大，可连续放大100-20000倍；包含湿片镜检细胞情况及染色镜检病原体情况；图像采集像素≥200万。</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4、功能检测设备：非接触式吸液加样，自动温浴，可实时监测运行状态和样本位置；可随时编辑样本上机检测；采用机器视觉视网膜颜色自动识别系统，结果判读在开放的环境中进行。</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5、自动镜检和功能检测均可实现人工复核，便于结果质控；</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6、检测安全性：检测结束后的废试剂板、玻片和针头自动进入收集盒，避免人工收集造成交叉污染；</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7、报告单内容参照《阴道微生态评价的临床应用专家共识》临床指南要求，须包含湿片镜检细胞情况、染色镜检病原体情况、微生态形态学评价体系指标、Nugent评分和AV评分。</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（十二）荧光显微镜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1、生物显微镜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1.1光学系统：采用无限远光学校正系统。</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1.2载物台：钢丝传动式机械载物台，带可移动刻度片夹，尺寸（约）：120 × 132mm，行程为：76mm（X）× 30mm（Y）。</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1.3物镜转换器：4孔物镜转盘，内倾式。</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1.4聚光镜：阿贝聚光镜。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★1.5目镜：10×（视野数须≥20）二支，屈光度可调。</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1.6观察镜筒：双目观察筒，瞳距调整范围48-75mm。宽眼点调节范围，至少满足370mm-427mm的眼点调节范围。</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★1.7物镜：平场消色差物镜4只，且符合以下参数 ：</w:t>
      </w:r>
    </w:p>
    <w:p>
      <w:pPr>
        <w:spacing w:line="360" w:lineRule="auto"/>
        <w:ind w:firstLine="1200" w:firstLineChars="5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4X（数值孔径 ≥0.10,工作距离≥27.8mm）；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      10X（数值孔径≥0.25,工作距离≥8.0mm）；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      40X（数值孔径≥0.65,工作距离≥0.6mm）；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 xml:space="preserve">      100X（数值孔径≥1.25,工作距离≥0.13mm）。</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1.8照明系统：内置LED，寿命达20000小时。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1.9防霉装置：在双目观察筒、目镜、物镜均做了防霉处理。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2、荧光系统</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2.1激发光：蓝色激发光</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2.2激发滤光片：460-490nm高透</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ind w:firstLine="437"/>
        <w:rPr>
          <w:rFonts w:ascii="宋体" w:hAnsi="宋体" w:eastAsia="宋体"/>
          <w:bCs/>
          <w:sz w:val="24"/>
          <w:szCs w:val="1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p>
    <w:p>
      <w:pPr>
        <w:spacing w:line="360" w:lineRule="auto"/>
        <w:rPr>
          <w:rFonts w:ascii="宋体" w:hAnsi="宋体"/>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方正行楷简体"/>
    <w:panose1 w:val="00000000000000000000"/>
    <w:charset w:val="86"/>
    <w:family w:val="auto"/>
    <w:pitch w:val="default"/>
    <w:sig w:usb0="00000000" w:usb1="00000000" w:usb2="00000010" w:usb3="00000000" w:csb0="00040000" w:csb1="00000000"/>
  </w:font>
  <w:font w:name="@方正行楷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6D0D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2">
    <w:name w:val="Body Text"/>
    <w:basedOn w:val="1"/>
    <w:link w:val="90"/>
    <w:qFormat/>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uiPriority w:val="0"/>
    <w:pPr>
      <w:ind w:left="420" w:leftChars="200"/>
    </w:pPr>
  </w:style>
  <w:style w:type="paragraph" w:styleId="14">
    <w:name w:val="index 8"/>
    <w:basedOn w:val="1"/>
    <w:next w:val="1"/>
    <w:uiPriority w:val="0"/>
    <w:pPr>
      <w:ind w:left="1400" w:leftChars="1400"/>
    </w:pPr>
  </w:style>
  <w:style w:type="paragraph" w:styleId="15">
    <w:name w:val="List Number"/>
    <w:basedOn w:val="1"/>
    <w:unhideWhenUsed/>
    <w:qFormat/>
    <w:uiPriority w:val="0"/>
    <w:rPr>
      <w:rFonts w:ascii="黑体" w:hAnsi="Arial" w:eastAsia="黑体"/>
      <w:szCs w:val="24"/>
    </w:rPr>
  </w:style>
  <w:style w:type="paragraph" w:styleId="16">
    <w:name w:val="Normal Indent"/>
    <w:basedOn w:val="1"/>
    <w:link w:val="118"/>
    <w:qFormat/>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qFormat/>
    <w:uiPriority w:val="0"/>
    <w:pPr>
      <w:ind w:left="800" w:leftChars="800"/>
    </w:pPr>
  </w:style>
  <w:style w:type="paragraph" w:styleId="19">
    <w:name w:val="Document Map"/>
    <w:basedOn w:val="1"/>
    <w:link w:val="92"/>
    <w:qFormat/>
    <w:uiPriority w:val="0"/>
    <w:pPr>
      <w:shd w:val="clear" w:color="auto" w:fill="000080"/>
    </w:p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14"/>
    <w:qFormat/>
    <w:uiPriority w:val="0"/>
    <w:pPr>
      <w:jc w:val="left"/>
    </w:pPr>
  </w:style>
  <w:style w:type="paragraph" w:styleId="22">
    <w:name w:val="index 6"/>
    <w:basedOn w:val="1"/>
    <w:next w:val="1"/>
    <w:qFormat/>
    <w:uiPriority w:val="0"/>
    <w:pPr>
      <w:ind w:left="1000" w:leftChars="1000"/>
    </w:pPr>
  </w:style>
  <w:style w:type="paragraph" w:styleId="23">
    <w:name w:val="Body Text 3"/>
    <w:basedOn w:val="1"/>
    <w:link w:val="93"/>
    <w:uiPriority w:val="99"/>
    <w:rPr>
      <w:rFonts w:ascii="黑体" w:hAnsi="Arial" w:eastAsia="黑体"/>
      <w:b/>
      <w:sz w:val="28"/>
    </w:rPr>
  </w:style>
  <w:style w:type="paragraph" w:styleId="24">
    <w:name w:val="List Bullet 3"/>
    <w:basedOn w:val="1"/>
    <w:unhideWhenUsed/>
    <w:qFormat/>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qFormat/>
    <w:uiPriority w:val="0"/>
    <w:rPr>
      <w:b/>
      <w:sz w:val="28"/>
    </w:rPr>
  </w:style>
  <w:style w:type="paragraph" w:styleId="35">
    <w:name w:val="Body Text Indent 2"/>
    <w:basedOn w:val="1"/>
    <w:link w:val="85"/>
    <w:qFormat/>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qFormat/>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qFormat/>
    <w:uiPriority w:val="39"/>
    <w:pPr>
      <w:ind w:left="210"/>
      <w:jc w:val="left"/>
    </w:pPr>
    <w:rPr>
      <w:smallCaps/>
      <w:sz w:val="18"/>
      <w:szCs w:val="24"/>
    </w:rPr>
  </w:style>
  <w:style w:type="paragraph" w:styleId="50">
    <w:name w:val="toc 9"/>
    <w:basedOn w:val="1"/>
    <w:next w:val="1"/>
    <w:qFormat/>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uiPriority w:val="99"/>
    <w:rPr>
      <w:sz w:val="18"/>
      <w:szCs w:val="18"/>
    </w:rPr>
  </w:style>
  <w:style w:type="paragraph" w:customStyle="1" w:styleId="69">
    <w:name w:val="Char Char Char Char Char Char Char1 Char"/>
    <w:basedOn w:val="1"/>
    <w:uiPriority w:val="0"/>
    <w:rPr>
      <w:rFonts w:ascii="Tahoma" w:hAnsi="Tahoma" w:eastAsia="仿宋_GB2312"/>
      <w:sz w:val="24"/>
      <w:szCs w:val="32"/>
    </w:rPr>
  </w:style>
  <w:style w:type="character" w:customStyle="1" w:styleId="70">
    <w:name w:val="正文文本缩进 Char"/>
    <w:link w:val="25"/>
    <w:uiPriority w:val="0"/>
    <w:rPr>
      <w:rFonts w:ascii="楷体_GB2312" w:eastAsia="楷体_GB2312"/>
      <w:sz w:val="32"/>
    </w:rPr>
  </w:style>
  <w:style w:type="character" w:customStyle="1" w:styleId="71">
    <w:name w:val="正文文本缩进 Char1"/>
    <w:basedOn w:val="60"/>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qFormat/>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uiPriority w:val="0"/>
    <w:rPr>
      <w:rFonts w:ascii="Arial" w:hAnsi="Arial" w:eastAsia="黑体" w:cs="Times New Roman"/>
      <w:b/>
      <w:bCs/>
      <w:sz w:val="32"/>
      <w:szCs w:val="32"/>
    </w:rPr>
  </w:style>
  <w:style w:type="character" w:customStyle="1" w:styleId="77">
    <w:name w:val="标题 5 Char"/>
    <w:basedOn w:val="60"/>
    <w:link w:val="7"/>
    <w:qFormat/>
    <w:uiPriority w:val="0"/>
    <w:rPr>
      <w:rFonts w:ascii="Times New Roman" w:hAnsi="Times New Roman" w:eastAsia="宋体" w:cs="Times New Roman"/>
      <w:b/>
      <w:bCs/>
      <w:sz w:val="28"/>
      <w:szCs w:val="28"/>
    </w:rPr>
  </w:style>
  <w:style w:type="character" w:customStyle="1" w:styleId="78">
    <w:name w:val="标题 1 Char"/>
    <w:basedOn w:val="60"/>
    <w:link w:val="3"/>
    <w:qFormat/>
    <w:uiPriority w:val="0"/>
    <w:rPr>
      <w:rFonts w:ascii="Times New Roman" w:hAnsi="Times New Roman" w:eastAsia="宋体" w:cs="Times New Roman"/>
      <w:b/>
      <w:bCs/>
      <w:kern w:val="44"/>
      <w:sz w:val="30"/>
      <w:szCs w:val="44"/>
    </w:rPr>
  </w:style>
  <w:style w:type="character" w:customStyle="1" w:styleId="79">
    <w:name w:val="标题 3 Char"/>
    <w:basedOn w:val="60"/>
    <w:link w:val="5"/>
    <w:qFormat/>
    <w:uiPriority w:val="0"/>
    <w:rPr>
      <w:rFonts w:ascii="宋体" w:hAnsi="Times New Roman" w:eastAsia="宋体" w:cs="Times New Roman"/>
      <w:b/>
      <w:bCs/>
      <w:sz w:val="32"/>
      <w:szCs w:val="32"/>
    </w:rPr>
  </w:style>
  <w:style w:type="character" w:customStyle="1" w:styleId="80">
    <w:name w:val="标题 4 Char"/>
    <w:basedOn w:val="60"/>
    <w:link w:val="6"/>
    <w:qFormat/>
    <w:uiPriority w:val="0"/>
    <w:rPr>
      <w:rFonts w:ascii="Arial" w:hAnsi="Arial" w:eastAsia="黑体" w:cs="Times New Roman"/>
      <w:b/>
      <w:bCs/>
      <w:sz w:val="28"/>
      <w:szCs w:val="28"/>
    </w:rPr>
  </w:style>
  <w:style w:type="character" w:customStyle="1" w:styleId="81">
    <w:name w:val="标题 6 Char"/>
    <w:basedOn w:val="60"/>
    <w:link w:val="8"/>
    <w:qFormat/>
    <w:uiPriority w:val="0"/>
    <w:rPr>
      <w:rFonts w:ascii="宋体" w:hAnsi="宋体" w:eastAsia="宋体" w:cs="Times New Roman"/>
      <w:kern w:val="0"/>
      <w:sz w:val="28"/>
      <w:szCs w:val="20"/>
    </w:rPr>
  </w:style>
  <w:style w:type="character" w:customStyle="1" w:styleId="82">
    <w:name w:val="标题 7 Char"/>
    <w:basedOn w:val="60"/>
    <w:link w:val="9"/>
    <w:qFormat/>
    <w:uiPriority w:val="0"/>
    <w:rPr>
      <w:rFonts w:ascii="Arial" w:hAnsi="Arial" w:eastAsia="仿宋_GB2312" w:cs="Arial"/>
      <w:b/>
      <w:bCs/>
      <w:spacing w:val="-4"/>
      <w:sz w:val="24"/>
      <w:szCs w:val="24"/>
    </w:rPr>
  </w:style>
  <w:style w:type="character" w:customStyle="1" w:styleId="83">
    <w:name w:val="标题 8 Char"/>
    <w:basedOn w:val="60"/>
    <w:link w:val="10"/>
    <w:qFormat/>
    <w:uiPriority w:val="0"/>
    <w:rPr>
      <w:rFonts w:ascii="Times New Roman" w:hAnsi="Times New Roman" w:eastAsia="宋体" w:cs="Times New Roman"/>
      <w:kern w:val="0"/>
      <w:sz w:val="24"/>
      <w:szCs w:val="20"/>
    </w:rPr>
  </w:style>
  <w:style w:type="character" w:customStyle="1" w:styleId="84">
    <w:name w:val="标题 9 Char"/>
    <w:basedOn w:val="60"/>
    <w:link w:val="11"/>
    <w:qFormat/>
    <w:uiPriority w:val="0"/>
    <w:rPr>
      <w:rFonts w:ascii="Times New Roman" w:hAnsi="Times New Roman" w:eastAsia="宋体" w:cs="Times New Roman"/>
      <w:kern w:val="0"/>
      <w:sz w:val="24"/>
      <w:szCs w:val="20"/>
    </w:rPr>
  </w:style>
  <w:style w:type="character" w:customStyle="1" w:styleId="85">
    <w:name w:val="正文文本缩进 2 Char"/>
    <w:basedOn w:val="60"/>
    <w:link w:val="35"/>
    <w:qFormat/>
    <w:uiPriority w:val="0"/>
    <w:rPr>
      <w:rFonts w:ascii="Arial" w:hAnsi="Arial" w:eastAsia="仿宋_GB2312" w:cs="Times New Roman"/>
      <w:sz w:val="32"/>
      <w:szCs w:val="20"/>
    </w:rPr>
  </w:style>
  <w:style w:type="character" w:customStyle="1" w:styleId="86">
    <w:name w:val="纯文本 Char"/>
    <w:basedOn w:val="60"/>
    <w:qFormat/>
    <w:uiPriority w:val="0"/>
    <w:rPr>
      <w:rFonts w:ascii="宋体" w:hAnsi="Courier New" w:eastAsia="宋体" w:cs="Courier New"/>
      <w:szCs w:val="21"/>
    </w:rPr>
  </w:style>
  <w:style w:type="character" w:customStyle="1" w:styleId="87">
    <w:name w:val="纯文本 Char1"/>
    <w:link w:val="31"/>
    <w:qFormat/>
    <w:locked/>
    <w:uiPriority w:val="0"/>
    <w:rPr>
      <w:rFonts w:ascii="宋体" w:hAnsi="Courier New" w:eastAsia="宋体" w:cs="Times New Roman"/>
      <w:szCs w:val="20"/>
    </w:rPr>
  </w:style>
  <w:style w:type="character" w:customStyle="1" w:styleId="88">
    <w:name w:val="正文文本缩进 3 Char"/>
    <w:basedOn w:val="60"/>
    <w:link w:val="46"/>
    <w:qFormat/>
    <w:uiPriority w:val="0"/>
    <w:rPr>
      <w:rFonts w:ascii="仿宋_GB2312" w:hAnsi="Arial" w:eastAsia="仿宋_GB2312" w:cs="Times New Roman"/>
      <w:color w:val="000000"/>
      <w:sz w:val="30"/>
      <w:szCs w:val="20"/>
    </w:rPr>
  </w:style>
  <w:style w:type="character" w:customStyle="1" w:styleId="89">
    <w:name w:val="日期 Char"/>
    <w:basedOn w:val="60"/>
    <w:link w:val="34"/>
    <w:qFormat/>
    <w:uiPriority w:val="0"/>
    <w:rPr>
      <w:rFonts w:ascii="Times New Roman" w:hAnsi="Times New Roman" w:eastAsia="宋体" w:cs="Times New Roman"/>
      <w:b/>
      <w:sz w:val="28"/>
      <w:szCs w:val="20"/>
    </w:rPr>
  </w:style>
  <w:style w:type="character" w:customStyle="1" w:styleId="90">
    <w:name w:val="正文文本 Char"/>
    <w:basedOn w:val="60"/>
    <w:link w:val="2"/>
    <w:qFormat/>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9"/>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6"/>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5"/>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5"/>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4"/>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qFormat/>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qFormat/>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qFormat/>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uiPriority w:val="0"/>
    <w:rPr>
      <w:rFonts w:ascii="Helvetica" w:hAnsi="Helvetica" w:eastAsia="宋体" w:cs="Arial Unicode MS"/>
      <w:color w:val="000000"/>
      <w:kern w:val="0"/>
      <w:sz w:val="22"/>
      <w:szCs w:val="22"/>
      <w:lang w:val="zh-CN" w:eastAsia="zh-CN" w:bidi="ar-SA"/>
    </w:rPr>
  </w:style>
  <w:style w:type="paragraph" w:customStyle="1" w:styleId="208">
    <w:name w:val="列出段落6"/>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uiPriority w:val="0"/>
    <w:rPr>
      <w:rFonts w:hint="default" w:ascii="Times New Roman" w:hAnsi="Times New Roman" w:cs="Times New Roman"/>
      <w:color w:val="000000"/>
      <w:sz w:val="22"/>
      <w:szCs w:val="22"/>
      <w:u w:val="none"/>
    </w:rPr>
  </w:style>
  <w:style w:type="character" w:customStyle="1" w:styleId="217">
    <w:name w:val="font71"/>
    <w:uiPriority w:val="0"/>
    <w:rPr>
      <w:rFonts w:hint="eastAsia" w:ascii="宋体" w:hAnsi="宋体" w:eastAsia="宋体" w:cs="宋体"/>
      <w:color w:val="000000"/>
      <w:sz w:val="21"/>
      <w:szCs w:val="21"/>
      <w:u w:val="none"/>
    </w:rPr>
  </w:style>
  <w:style w:type="character" w:customStyle="1" w:styleId="218">
    <w:name w:val="font61"/>
    <w:uiPriority w:val="0"/>
    <w:rPr>
      <w:rFonts w:hint="eastAsia" w:ascii="宋体" w:hAnsi="宋体" w:eastAsia="宋体" w:cs="宋体"/>
      <w:color w:val="000000"/>
      <w:sz w:val="22"/>
      <w:szCs w:val="22"/>
      <w:u w:val="none"/>
    </w:rPr>
  </w:style>
  <w:style w:type="paragraph" w:customStyle="1" w:styleId="219">
    <w:name w:val="图1"/>
    <w:basedOn w:val="1"/>
    <w:next w:val="1"/>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uiPriority w:val="0"/>
    <w:pPr>
      <w:widowControl/>
      <w:spacing w:after="160" w:line="240" w:lineRule="exact"/>
      <w:jc w:val="left"/>
    </w:pPr>
    <w:rPr>
      <w:kern w:val="0"/>
      <w:sz w:val="24"/>
      <w:szCs w:val="24"/>
    </w:rPr>
  </w:style>
  <w:style w:type="paragraph" w:customStyle="1" w:styleId="222">
    <w:name w:val="Default Paragraph Char Char Char Char"/>
    <w:basedOn w:val="1"/>
    <w:next w:val="1"/>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uiPriority w:val="0"/>
    <w:rPr>
      <w:rFonts w:ascii="Tahoma" w:hAnsi="Tahoma"/>
      <w:sz w:val="24"/>
      <w:szCs w:val="24"/>
    </w:rPr>
  </w:style>
  <w:style w:type="paragraph" w:customStyle="1" w:styleId="224">
    <w:name w:val="样式 宋体 五号 行距: 单倍行距"/>
    <w:basedOn w:val="1"/>
    <w:uiPriority w:val="0"/>
    <w:pPr>
      <w:adjustRightInd w:val="0"/>
      <w:jc w:val="left"/>
      <w:textAlignment w:val="baseline"/>
    </w:pPr>
    <w:rPr>
      <w:rFonts w:ascii="宋体" w:hAnsi="宋体"/>
      <w:kern w:val="0"/>
    </w:rPr>
  </w:style>
  <w:style w:type="paragraph" w:customStyle="1" w:styleId="225">
    <w:name w:val="Char3"/>
    <w:basedOn w:val="1"/>
    <w:uiPriority w:val="0"/>
    <w:rPr>
      <w:rFonts w:ascii="Tahoma" w:hAnsi="Tahoma"/>
      <w:sz w:val="24"/>
    </w:rPr>
  </w:style>
  <w:style w:type="paragraph" w:customStyle="1" w:styleId="226">
    <w:name w:val="正文无缩进"/>
    <w:basedOn w:val="1"/>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3</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2021-12-14T07:43:40Z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7A8020A210194BCFA31853D425C7B92F</vt:lpwstr>
  </property>
</Properties>
</file>