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0" w:name="_Toc74754818"/>
      <w:r>
        <w:rPr>
          <w:rFonts w:hint="eastAsia" w:asciiTheme="minorEastAsia" w:hAnsiTheme="minorEastAsia" w:eastAsiaTheme="minorEastAsia"/>
          <w:b/>
          <w:sz w:val="28"/>
        </w:rPr>
        <w:t xml:space="preserve">  采购需求</w:t>
      </w:r>
      <w:bookmarkEnd w:id="0"/>
    </w:p>
    <w:p>
      <w:pPr>
        <w:jc w:val="center"/>
        <w:outlineLvl w:val="0"/>
        <w:rPr>
          <w:rFonts w:asciiTheme="minorHAnsi" w:hAnsiTheme="minorHAnsi" w:eastAsiaTheme="minorEastAsia" w:cstheme="minorBidi"/>
          <w:b/>
          <w:color w:val="FF0000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</w:rPr>
        <w:t>（仅供参考，最终以</w:t>
      </w: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  <w:lang w:val="en-US" w:eastAsia="zh-CN"/>
        </w:rPr>
        <w:t>招标</w:t>
      </w: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</w:rPr>
        <w:t>文件为准）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asciiTheme="minorEastAsia" w:hAnsiTheme="minorEastAsia" w:eastAsiaTheme="minorEastAsia"/>
          <w:sz w:val="24"/>
        </w:rPr>
        <w:t>.</w:t>
      </w:r>
      <w:r>
        <w:rPr>
          <w:rFonts w:ascii="宋体" w:hAnsi="宋体" w:eastAsia="宋体"/>
          <w:sz w:val="24"/>
          <w:szCs w:val="18"/>
        </w:rPr>
        <w:t>根据《关于规范政府采购进口产品有关工作的通知》及政府采购管理部门的相关规定，下列采购需求中</w:t>
      </w:r>
      <w:r>
        <w:rPr>
          <w:rFonts w:hint="eastAsia" w:ascii="宋体" w:hAnsi="宋体" w:eastAsia="宋体"/>
          <w:sz w:val="24"/>
          <w:szCs w:val="18"/>
        </w:rPr>
        <w:t>标注进口产品的货物均</w:t>
      </w:r>
      <w:r>
        <w:rPr>
          <w:rFonts w:ascii="宋体" w:hAnsi="宋体" w:eastAsia="宋体"/>
          <w:sz w:val="24"/>
          <w:szCs w:val="18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</w:rPr>
        <w:t>产品</w:t>
      </w:r>
      <w:r>
        <w:rPr>
          <w:rFonts w:ascii="宋体" w:hAnsi="宋体" w:eastAsia="宋体"/>
          <w:sz w:val="24"/>
          <w:szCs w:val="18"/>
        </w:rPr>
        <w:t>，但不限制满足招标文件要求的国内产品参与竞争</w:t>
      </w:r>
      <w:r>
        <w:rPr>
          <w:rFonts w:hint="eastAsia" w:ascii="宋体" w:hAnsi="宋体" w:eastAsia="宋体"/>
          <w:sz w:val="24"/>
          <w:szCs w:val="18"/>
        </w:rPr>
        <w:t>。未标注进口产品的货物均</w:t>
      </w:r>
      <w:r>
        <w:rPr>
          <w:rFonts w:ascii="宋体" w:hAnsi="宋体" w:eastAsia="宋体"/>
          <w:sz w:val="24"/>
          <w:szCs w:val="18"/>
        </w:rPr>
        <w:t>为拒绝采购进口产品</w:t>
      </w:r>
      <w:r>
        <w:rPr>
          <w:rFonts w:hint="eastAsia" w:ascii="宋体" w:hAnsi="宋体" w:eastAsia="宋体"/>
          <w:sz w:val="24"/>
          <w:szCs w:val="18"/>
        </w:rPr>
        <w:t>。</w:t>
      </w:r>
    </w:p>
    <w:p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2</w:t>
      </w:r>
      <w:r>
        <w:rPr>
          <w:rFonts w:ascii="宋体" w:hAnsi="宋体" w:eastAsia="宋体"/>
          <w:sz w:val="24"/>
          <w:szCs w:val="18"/>
        </w:rPr>
        <w:t>.</w:t>
      </w:r>
      <w:r>
        <w:rPr>
          <w:rFonts w:hint="eastAsia" w:ascii="宋体" w:hAnsi="宋体" w:eastAsia="宋体"/>
          <w:sz w:val="24"/>
          <w:szCs w:val="18"/>
        </w:rPr>
        <w:t>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3</w:t>
      </w:r>
      <w:r>
        <w:rPr>
          <w:rFonts w:ascii="宋体" w:hAnsi="宋体" w:eastAsia="宋体"/>
          <w:sz w:val="24"/>
          <w:szCs w:val="18"/>
        </w:rPr>
        <w:t>.下列采购需求中：标注▲的产品</w:t>
      </w:r>
      <w:r>
        <w:rPr>
          <w:rFonts w:hint="eastAsia" w:ascii="宋体" w:hAnsi="宋体" w:eastAsia="宋体"/>
          <w:sz w:val="24"/>
          <w:szCs w:val="18"/>
        </w:rPr>
        <w:t>（核心产品）</w:t>
      </w:r>
      <w:r>
        <w:rPr>
          <w:rFonts w:ascii="宋体" w:hAnsi="宋体" w:eastAsia="宋体"/>
          <w:sz w:val="24"/>
          <w:szCs w:val="18"/>
        </w:rPr>
        <w:t>，投标</w:t>
      </w:r>
      <w:r>
        <w:rPr>
          <w:rFonts w:hint="eastAsia" w:ascii="宋体" w:hAnsi="宋体" w:eastAsia="宋体"/>
          <w:sz w:val="24"/>
          <w:szCs w:val="18"/>
        </w:rPr>
        <w:t>人</w:t>
      </w:r>
      <w:r>
        <w:rPr>
          <w:rFonts w:ascii="宋体" w:hAnsi="宋体" w:eastAsia="宋体"/>
          <w:sz w:val="24"/>
          <w:szCs w:val="18"/>
        </w:rPr>
        <w:t>在投标文件《主要</w:t>
      </w:r>
      <w:r>
        <w:rPr>
          <w:rFonts w:hint="eastAsia" w:ascii="宋体" w:hAnsi="宋体" w:eastAsia="宋体"/>
          <w:sz w:val="24"/>
          <w:szCs w:val="18"/>
        </w:rPr>
        <w:t>中标</w:t>
      </w:r>
      <w:r>
        <w:rPr>
          <w:rFonts w:ascii="宋体" w:hAnsi="宋体" w:eastAsia="宋体"/>
          <w:sz w:val="24"/>
          <w:szCs w:val="18"/>
        </w:rPr>
        <w:t>标的承诺函》中填写名称、</w:t>
      </w:r>
      <w:r>
        <w:rPr>
          <w:rFonts w:hint="eastAsia" w:ascii="宋体" w:hAnsi="宋体" w:eastAsia="宋体"/>
          <w:sz w:val="24"/>
          <w:szCs w:val="18"/>
        </w:rPr>
        <w:t>品牌、</w:t>
      </w:r>
      <w:r>
        <w:rPr>
          <w:rFonts w:ascii="宋体" w:hAnsi="宋体" w:eastAsia="宋体"/>
          <w:sz w:val="24"/>
          <w:szCs w:val="18"/>
        </w:rPr>
        <w:t>规格、型号、数量、单价等信息</w:t>
      </w:r>
      <w:r>
        <w:rPr>
          <w:rFonts w:hint="eastAsia" w:ascii="宋体" w:hAnsi="宋体" w:eastAsia="宋体"/>
          <w:sz w:val="24"/>
          <w:szCs w:val="18"/>
        </w:rPr>
        <w:t>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4. 所投医疗器械须具有医疗器械注册证，投标文件中须提供完整的证书扫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描件，否则投标无效</w:t>
      </w:r>
      <w:r>
        <w:rPr>
          <w:rFonts w:hint="eastAsia" w:asciiTheme="minorEastAsia" w:hAnsiTheme="minorEastAsia" w:eastAsiaTheme="minorEastAsia"/>
          <w:b/>
          <w:sz w:val="24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 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5.标注“★”条款为产品关键性能参数，投标人须完全满足或优于招标文件要求，否则投标无效。未标注“★”条款如出现负偏离或未响应的，由评标委员会讨论后酌情评审。    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6．技术参数及要求中，标注“提供相关证明材料”的条款，投标人需在投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标文件中提供能体现该条款要求的证明材料扫描件，如：医疗器械注册证、检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测报告、技术白皮书、产品彩页、功能截图、说明书、官网截图等，提供其中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之一即可，否则视为负偏离（为便于评审，建议投标人对证明材料中的关键参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数进行标注）。 </w:t>
      </w:r>
    </w:p>
    <w:p>
      <w:pPr>
        <w:spacing w:line="360" w:lineRule="auto"/>
        <w:ind w:firstLine="354" w:firstLineChars="147"/>
        <w:rPr>
          <w:rFonts w:asciiTheme="minorEastAsia" w:hAnsiTheme="minorEastAsia" w:eastAsiaTheme="minorEastAsia"/>
          <w:b/>
          <w:sz w:val="24"/>
          <w:szCs w:val="28"/>
        </w:rPr>
      </w:pPr>
    </w:p>
    <w:p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916"/>
        <w:gridCol w:w="5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供货安装并验收合格后30个工作日内支付合同金额的50%，供货安装并验收合格一年后支付合同金额的40%，余款待免费质保期满后一次性无息付清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合肥市妇幼保健院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合同生效后90个日历天内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验收合格之日起两年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24"/>
          <w:szCs w:val="18"/>
        </w:rPr>
      </w:pPr>
    </w:p>
    <w:p>
      <w:pPr>
        <w:widowControl/>
        <w:jc w:val="left"/>
        <w:rPr>
          <w:rFonts w:ascii="宋体" w:hAnsi="宋体" w:eastAsia="宋体"/>
          <w:b/>
          <w:bCs/>
          <w:sz w:val="24"/>
          <w:szCs w:val="18"/>
        </w:rPr>
      </w:pPr>
      <w:r>
        <w:rPr>
          <w:rFonts w:ascii="宋体" w:hAnsi="宋体" w:eastAsia="宋体"/>
          <w:b/>
          <w:bCs/>
          <w:sz w:val="24"/>
          <w:szCs w:val="18"/>
        </w:rPr>
        <w:br w:type="page"/>
      </w:r>
    </w:p>
    <w:p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二、货物需求一览表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382"/>
        <w:gridCol w:w="137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数量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备注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4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子宫内刨削器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宫腔检查镜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宫腔电切镜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膨宫机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妇科工作站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360" w:lineRule="auto"/>
        <w:ind w:firstLine="437"/>
        <w:outlineLvl w:val="1"/>
        <w:rPr>
          <w:rFonts w:asciiTheme="minorEastAsia" w:hAnsiTheme="minorEastAsia" w:eastAsiaTheme="minorEastAsia"/>
          <w:b/>
          <w:bCs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18"/>
        </w:rPr>
        <w:t>三、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技术参数及要求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24"/>
        <w:gridCol w:w="4081"/>
        <w:gridCol w:w="737"/>
        <w:gridCol w:w="808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95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239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43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数量（单位）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33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1</w:t>
            </w:r>
          </w:p>
        </w:tc>
        <w:tc>
          <w:tcPr>
            <w:tcW w:w="95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ascii="宋体" w:hAnsi="宋体" w:eastAsia="宋体"/>
                <w:sz w:val="24"/>
                <w:szCs w:val="18"/>
              </w:rPr>
              <w:t>▲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子宫内刨削器</w:t>
            </w:r>
          </w:p>
        </w:tc>
        <w:tc>
          <w:tcPr>
            <w:tcW w:w="239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冷刀宫腔镜系统 1套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视角：6°设计，保证所有操作在可视下进行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视场角≥90°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柱状晶体镜，非球面镜，蓝宝石镜面，可高温高压消毒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目镜和操作鞘平行，标准目镜接口，保证操作便捷性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.5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可360°旋转镜鞘，直径≤24Fr，外部带厘米刻度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.6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带LUER灌流接口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冷刀手术器械1套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剪刀1把，可旋转， 可拆卸，带电凝连接头，双动剪刃， 直径3 mm， 长360mm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抓钳1把，可旋转， 可拆卸，带电凝连接头，双动钳头， 直径3 mm， 长360mm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抓钳1把，“老虎钳口”，可旋转，可拆卸，双动钳口，直径3mm，长 360mm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剪刀1把，尖头，单侧钳口活动，直径3mm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.5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活检钳1把， 双动钳口，直径3mm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.6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抓钳1把，双动钳口，直径3mm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.7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双极电凝棒1根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.8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双极导线1根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.9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导光束1根：长230cm， 直径3.5mm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.10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密封帽1包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动力刨削主机1套，动力刨削手柄1套，刨削刀头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根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自动识别器械，即插即用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可手动设置最高限速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面板可同时液晶显示最高转速与实际转速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脚踏控制：无级变速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.5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最高转速≥35000转/分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.6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兼容妇科动力系列机型≥3种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.7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可与≥2款冲洗吸引泵机型实现双机联动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.8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防水面板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.9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手柄切割速率≥5000次/分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.10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切割方向：360°旋转，便捷锁扣，360°安装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切割模式：往复切割模式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手柄吸引通道：中央直排吸引通道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刀头规格：直径≤4mm，长度≥32cm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刀头无创头端设计，卵圆形、长方形两款开口各一，往复切割工作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.15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刀头定位器与切割窗口方向一致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.16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刀头可高温高压消毒，可重复使用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冲洗吸引泵1台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可与妇科动力主机实现双机联动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可用于宫腔镜下吸引，腹腔镜下冲洗或吸引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冲洗吸引管路可高温高压消毒，可重复使用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带集总控制模块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  <w:lang w:val="en-US" w:eastAsia="zh-CN"/>
              </w:rPr>
              <w:t>5  彭宫泵1台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  <w:t>宫腔电切及宫腔检查等手术均需要液体环境，使得宫腔内具有操作空间，并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  <w:t>且需要水循环过程，来保证良好的视野环境。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  <w:t>预设宫腔压力，范围为15-150mmHg。流速范围30-500毫升/分钟。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  <w:t>具有流速，气泡进入体腔等报警功能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  <w:lang w:val="en-US" w:eastAsia="zh-CN"/>
              </w:rPr>
              <w:t>5.4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  <w:t>具有流失液体量自动测量及显示功能，超出预设值可声光报警自动测量和校准具有流速报警功能，膨宫效果更佳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  <w:lang w:val="en-US" w:eastAsia="zh-CN"/>
              </w:rPr>
              <w:t>5.5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highlight w:val="none"/>
              </w:rPr>
              <w:t>用途：妇科宫腔检查手术，宫腔电切手术及生殖中心宫腔镜手术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台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2</w:t>
            </w:r>
          </w:p>
        </w:tc>
        <w:tc>
          <w:tcPr>
            <w:tcW w:w="95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宫腔检查镜</w:t>
            </w:r>
          </w:p>
        </w:tc>
        <w:tc>
          <w:tcPr>
            <w:tcW w:w="2393" w:type="pc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★1、宫腔镜 1根，30 °，直径 2.9mm，长 300mm，可高温高压消毒，镜身与目镜不可拆分，分辨率≥7.0LP/mm，投标文件中提供相关证明材料扫描件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2、宫腔镜操作内鞘1根，直径 4.3mm，带 5Fr.工作通道，头端带橄榄头状设计，可防止术中漏水。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3、宫腔镜操作外鞘 1根，可连续冲洗，直径 5mm。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4、活检抓钳，1把，双开，直径 5Fr.，长度 34cm。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5、剪刀，1把，尖头，单开，直径 5Fr.，长度 34cm。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6、勺状活检钳1把，单开，直径 5Fr.，长度 34cm。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7、纤维导光束，直径3.5mm. 1根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台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3</w:t>
            </w:r>
          </w:p>
        </w:tc>
        <w:tc>
          <w:tcPr>
            <w:tcW w:w="95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宫腔电切镜</w:t>
            </w:r>
          </w:p>
        </w:tc>
        <w:tc>
          <w:tcPr>
            <w:tcW w:w="239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★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1、宫腔电切镜1根：12°，直径≤4mm，长≥30cm，分辨率≥7.0LP/mm，光学镜的分辨率≥12.0LP/mm（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投标文件中提供相关证明材料扫描件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）；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2、电切镜镜鞘1个：连续冲洗电切镜镜鞘，26Fr，由内鞘和外鞘组成，内鞘陶瓷斜面头端绝缘，安全性高，内鞘可360°旋转；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3、鞘芯1个：标准型；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4、工作手件1把：被动式、双极；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5、切割环6个：双极；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6、保护管一个；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台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4</w:t>
            </w:r>
          </w:p>
        </w:tc>
        <w:tc>
          <w:tcPr>
            <w:tcW w:w="95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膨宫机</w:t>
            </w:r>
          </w:p>
        </w:tc>
        <w:tc>
          <w:tcPr>
            <w:tcW w:w="239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1.宫腔电切及宫腔检查等手术均需要液体环境，使得宫腔内具有操作空间，并2.且需要水循环过程，来保证良好的视野环境。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3.预设宫腔压力，范围为15-150mmHg。流速范围30-500毫升/分钟。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4.具有流速，气泡进入体腔等报警功能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5.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满足国际最高标准的压力和流量安全性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6.具有流失液体量自动测量及显示功能，超出预设值可声光报警自动测量和校准具有流速报警功能，膨宫效果更佳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7.用途：妇科宫腔检查手术，宫腔电切手术及生殖中心宫腔镜手术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2台 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5</w:t>
            </w:r>
          </w:p>
        </w:tc>
        <w:tc>
          <w:tcPr>
            <w:tcW w:w="95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妇科工作站</w:t>
            </w:r>
          </w:p>
        </w:tc>
        <w:tc>
          <w:tcPr>
            <w:tcW w:w="239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一、主机要求：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★模块式分体设计，具备单极电切模块、双极电凝模式、大血管闭合模块、负极板模块。并可升级冲洗泵模块、氩气模块、水刀模块等。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（一）、具备高频电刀的功能：单极功能、双极电凝功能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1、单极功能：0—300瓦可调、1瓦步调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①三种切割模式：自动切割、高能切割、无血切割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②五种电凝模式：柔和电凝、强力电凝 、喷射电凝、快速电凝、经典电凝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2、双极电凝功能：0～120Ｗ 可调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①三种电凝模式：双极强力电凝、双极柔和电凝、带自动停止的柔和电凝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②有两种启动方式：脚踏启动和自动启动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（二）、3mm血管分离、电切、电凝功能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① 电切输出功率：0~100W 可调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② 器械可高温高压消毒，重复使用，可用于各种开放式或腔镜下手术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★（三）、盐水下双极功能 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① 在盐水介质中实现切割和电凝，可减少水中毒的风险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② 8档效果调节，功率自动调节，最大输出功率300W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③ 即插即用，器械自动识别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★（四）、大血管闭合功能：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①对7mm以下血管进行自动有效闭合，高效的大面积组织电凝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②4种效果可选，最大功率225W，腔镜下热传导小于2mm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③手术器械及刀头为永久性器械，多种类型器械可选，可用于各种开放式或腔镜下手术，可高温高压消毒，重复使用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④即插即用，器械自动识别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⑤工作电压200V；工作电流小于4A；使用电压220-240V；低频泄漏小于10UA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化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二、其他功能：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 具有开机自检功能能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2. 具有中性负极板回路监测功能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3. 有最小功率输出控制系统及功率峰值补偿系统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 有程序存储及程序遥控功能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5. 具备硬件和软件升级功能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6. 具有高频泄露及时间限制监测系统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7. 具有远程诊断功能：能自动存储错误代码，显示错误信息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三、配置详细要求：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 1. 电外科工作站系统主机 1台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① 一次性带回路监测功能负极板   20片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② 负极板导线，4米     1条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③ 双脚踏开关(带遥控）  1副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④ 开放式大血管闭合器械，长210MM   1把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⑤一次性血管闭合刀头，长350MM  1把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⑥大血管闭合器械(腹腔镜用，带纹）    1把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⑦增宽型腔镜3mm血管闭合器械  1把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⑧配套用连线 1根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台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</w:tbl>
    <w:p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</w:p>
    <w:p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四、</w:t>
      </w:r>
      <w:r>
        <w:rPr>
          <w:rFonts w:hint="eastAsia" w:ascii="宋体" w:hAnsi="宋体" w:eastAsia="宋体"/>
          <w:b/>
          <w:bCs/>
          <w:sz w:val="24"/>
          <w:szCs w:val="18"/>
        </w:rPr>
        <w:t>报价要求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outlineLvl w:val="1"/>
        <w:rPr>
          <w:rFonts w:hint="eastAsia" w:ascii="宋体" w:hAnsi="宋体" w:eastAsia="宋体"/>
          <w:b w:val="0"/>
          <w:bCs w:val="0"/>
          <w:sz w:val="24"/>
          <w:szCs w:val="18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</w:rPr>
        <w:t>本项目各包报总价，报价包含完成本项目所需的全部费用。中标后采购人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不</w:t>
      </w:r>
      <w:r>
        <w:rPr>
          <w:rFonts w:hint="eastAsia" w:ascii="宋体" w:hAnsi="宋体" w:eastAsia="宋体"/>
          <w:b w:val="0"/>
          <w:bCs w:val="0"/>
          <w:sz w:val="24"/>
          <w:szCs w:val="18"/>
        </w:rPr>
        <w:t>再另行追加任何费用，投标人应自行考虑报价风险。</w:t>
      </w:r>
    </w:p>
    <w:p>
      <w:pPr>
        <w:spacing w:line="360" w:lineRule="auto"/>
        <w:rPr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5B"/>
    <w:rsid w:val="00422429"/>
    <w:rsid w:val="004B4EAA"/>
    <w:rsid w:val="00500F61"/>
    <w:rsid w:val="00792DA6"/>
    <w:rsid w:val="00A977A1"/>
    <w:rsid w:val="00BC5B87"/>
    <w:rsid w:val="00C721BA"/>
    <w:rsid w:val="00D1455B"/>
    <w:rsid w:val="00F24C54"/>
    <w:rsid w:val="02762676"/>
    <w:rsid w:val="1A6852D8"/>
    <w:rsid w:val="37631AA4"/>
    <w:rsid w:val="41ED1974"/>
    <w:rsid w:val="50AA7C13"/>
    <w:rsid w:val="5A70131A"/>
    <w:rsid w:val="5D8C146A"/>
    <w:rsid w:val="611604EF"/>
    <w:rsid w:val="646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10">
    <w:name w:val="D&amp;L"/>
    <w:basedOn w:val="5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</w:pPr>
    <w:rPr>
      <w:kern w:val="0"/>
      <w:sz w:val="24"/>
      <w:szCs w:val="20"/>
    </w:rPr>
  </w:style>
  <w:style w:type="character" w:customStyle="1" w:styleId="11">
    <w:name w:val="页眉 Char"/>
    <w:basedOn w:val="8"/>
    <w:link w:val="5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1101</Words>
  <Characters>1101</Characters>
  <Lines>100</Lines>
  <Paragraphs>183</Paragraphs>
  <TotalTime>0</TotalTime>
  <ScaleCrop>false</ScaleCrop>
  <LinksUpToDate>false</LinksUpToDate>
  <CharactersWithSpaces>2019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2021-08-23T08:53:00Z</dcterms:created>
  <dc:creator>Administrator</dc:creator>
  <cp:lastModifiedBy>Administrator</cp:lastModifiedBy>
  <dcterms:modified xsi:type="dcterms:W3CDTF">2021-12-16T11:37:29Z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