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采购需求</w:t>
      </w:r>
    </w:p>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（仅供参考，以采购文件为准）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pPr>
              <w:spacing w:line="360" w:lineRule="auto"/>
              <w:jc w:val="center"/>
              <w:rPr>
                <w:rFonts w:ascii="宋体" w:hAnsi="宋体" w:eastAsia="宋体" w:cs="@仿宋_GB2312"/>
                <w:b/>
                <w:kern w:val="2"/>
                <w:sz w:val="24"/>
                <w:szCs w:val="22"/>
                <w:highlight w:val="none"/>
              </w:rPr>
            </w:pPr>
            <w:r>
              <w:rPr>
                <w:rFonts w:hint="eastAsia" w:ascii="宋体" w:hAnsi="宋体" w:eastAsia="宋体" w:cs="@仿宋_GB2312"/>
                <w:b/>
                <w:kern w:val="2"/>
                <w:sz w:val="24"/>
                <w:szCs w:val="22"/>
                <w:highlight w:val="none"/>
              </w:rPr>
              <w:t>序号</w:t>
            </w:r>
          </w:p>
        </w:tc>
        <w:tc>
          <w:tcPr>
            <w:tcW w:w="749" w:type="pct"/>
            <w:vAlign w:val="center"/>
          </w:tcPr>
          <w:p>
            <w:pPr>
              <w:spacing w:line="360" w:lineRule="auto"/>
              <w:ind w:firstLine="435"/>
              <w:jc w:val="center"/>
              <w:rPr>
                <w:rFonts w:ascii="宋体" w:hAnsi="宋体" w:eastAsia="宋体" w:cs="@仿宋_GB2312"/>
                <w:b/>
                <w:kern w:val="2"/>
                <w:sz w:val="24"/>
                <w:szCs w:val="22"/>
                <w:highlight w:val="none"/>
              </w:rPr>
            </w:pPr>
            <w:r>
              <w:rPr>
                <w:rFonts w:hint="eastAsia" w:ascii="宋体" w:hAnsi="宋体" w:eastAsia="宋体" w:cs="@仿宋_GB2312"/>
                <w:b/>
                <w:kern w:val="2"/>
                <w:sz w:val="24"/>
                <w:szCs w:val="22"/>
                <w:highlight w:val="none"/>
              </w:rPr>
              <w:t>内容</w:t>
            </w:r>
          </w:p>
        </w:tc>
        <w:tc>
          <w:tcPr>
            <w:tcW w:w="3688" w:type="pct"/>
            <w:vAlign w:val="center"/>
          </w:tcPr>
          <w:p>
            <w:pPr>
              <w:spacing w:line="360" w:lineRule="auto"/>
              <w:ind w:firstLine="435"/>
              <w:jc w:val="center"/>
              <w:rPr>
                <w:rFonts w:ascii="宋体" w:hAnsi="宋体" w:eastAsia="宋体" w:cs="@仿宋_GB2312"/>
                <w:b/>
                <w:kern w:val="2"/>
                <w:sz w:val="24"/>
                <w:szCs w:val="22"/>
                <w:highlight w:val="none"/>
              </w:rPr>
            </w:pPr>
            <w:r>
              <w:rPr>
                <w:rFonts w:hint="eastAsia" w:ascii="宋体" w:hAnsi="宋体" w:eastAsia="宋体" w:cs="@仿宋_GB2312"/>
                <w:b/>
                <w:kern w:val="2"/>
                <w:sz w:val="24"/>
                <w:szCs w:val="22"/>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pPr>
              <w:spacing w:line="360" w:lineRule="auto"/>
              <w:jc w:val="center"/>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1</w:t>
            </w:r>
          </w:p>
        </w:tc>
        <w:tc>
          <w:tcPr>
            <w:tcW w:w="749" w:type="pct"/>
            <w:vAlign w:val="center"/>
          </w:tcPr>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人员到岗及履约要求</w:t>
            </w:r>
          </w:p>
        </w:tc>
        <w:tc>
          <w:tcPr>
            <w:tcW w:w="3688" w:type="pct"/>
            <w:vAlign w:val="center"/>
          </w:tcPr>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pPr>
              <w:spacing w:line="360" w:lineRule="auto"/>
              <w:jc w:val="center"/>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2</w:t>
            </w:r>
          </w:p>
        </w:tc>
        <w:tc>
          <w:tcPr>
            <w:tcW w:w="749" w:type="pct"/>
            <w:vAlign w:val="center"/>
          </w:tcPr>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材料要求</w:t>
            </w:r>
          </w:p>
        </w:tc>
        <w:tc>
          <w:tcPr>
            <w:tcW w:w="3688" w:type="pct"/>
            <w:vAlign w:val="center"/>
          </w:tcPr>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1）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2）如本项目采购人对工程质量有特殊需求的，对主要设备及材料提供不少于三个的参考品牌，对于采购人参考品牌的材料，供应商可选用参考品牌或不低于参考品牌质量标准的其它品牌；采用其它品牌的应在响应文件中提供相关技术参数证明材料供磋商小组评审，未提供相关技术参数证明材料或经磋商小组评审未通过的，成交后只能从采购人参考品牌中进行选择，价格不予调整。</w:t>
            </w:r>
          </w:p>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（3）对于采购人参考品牌的材料，</w:t>
            </w:r>
            <w:r>
              <w:rPr>
                <w:rFonts w:ascii="宋体" w:hAnsi="宋体" w:eastAsia="宋体" w:cs="@仿宋_GB2312"/>
                <w:kern w:val="2"/>
                <w:sz w:val="24"/>
                <w:szCs w:val="22"/>
                <w:highlight w:val="none"/>
              </w:rPr>
              <w:t>供应商</w:t>
            </w:r>
            <w:r>
              <w:rPr>
                <w:rFonts w:hint="eastAsia" w:ascii="宋体" w:hAnsi="宋体" w:eastAsia="宋体" w:cs="@仿宋_GB2312"/>
                <w:kern w:val="2"/>
                <w:sz w:val="24"/>
                <w:szCs w:val="22"/>
                <w:highlight w:val="none"/>
              </w:rPr>
              <w:t>如认为参考品牌有限定性、唯一性、明显不在同一档次等级的或者其他异议的，应在本项目网上询问截止时间前通过电子交易系统提交。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pPr>
              <w:spacing w:line="360" w:lineRule="auto"/>
              <w:jc w:val="center"/>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3</w:t>
            </w:r>
          </w:p>
        </w:tc>
        <w:tc>
          <w:tcPr>
            <w:tcW w:w="749" w:type="pct"/>
            <w:vAlign w:val="center"/>
          </w:tcPr>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工程施工重点难点</w:t>
            </w:r>
          </w:p>
        </w:tc>
        <w:tc>
          <w:tcPr>
            <w:tcW w:w="3688" w:type="pct"/>
            <w:vAlign w:val="center"/>
          </w:tcPr>
          <w:p>
            <w:pPr>
              <w:spacing w:line="360" w:lineRule="auto"/>
              <w:rPr>
                <w:rFonts w:hint="eastAsia" w:ascii="宋体" w:hAnsi="宋体" w:eastAsia="宋体" w:cs="@仿宋_GB2312"/>
                <w:kern w:val="2"/>
                <w:sz w:val="24"/>
                <w:szCs w:val="22"/>
                <w:highlight w:val="none"/>
                <w:lang w:eastAsia="zh-CN"/>
              </w:rPr>
            </w:pPr>
            <w:r>
              <w:rPr>
                <w:rFonts w:hint="eastAsia" w:ascii="宋体" w:hAnsi="宋体" w:eastAsia="宋体" w:cs="@仿宋_GB2312"/>
                <w:kern w:val="2"/>
                <w:sz w:val="24"/>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pPr>
              <w:spacing w:line="360" w:lineRule="auto"/>
              <w:jc w:val="center"/>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4</w:t>
            </w:r>
          </w:p>
        </w:tc>
        <w:tc>
          <w:tcPr>
            <w:tcW w:w="749" w:type="pct"/>
            <w:vAlign w:val="center"/>
          </w:tcPr>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报价须知</w:t>
            </w:r>
          </w:p>
        </w:tc>
        <w:tc>
          <w:tcPr>
            <w:tcW w:w="3688" w:type="pct"/>
            <w:vAlign w:val="center"/>
          </w:tcPr>
          <w:p>
            <w:pPr>
              <w:spacing w:line="360" w:lineRule="auto"/>
              <w:rPr>
                <w:rFonts w:ascii="宋体" w:hAnsi="宋体" w:eastAsia="宋体" w:cs="@仿宋_GB2312"/>
                <w:kern w:val="2"/>
                <w:sz w:val="24"/>
                <w:szCs w:val="22"/>
                <w:highlight w:val="none"/>
              </w:rPr>
            </w:pPr>
            <w:r>
              <w:rPr>
                <w:rFonts w:hint="eastAsia" w:ascii="宋体" w:hAnsi="宋体" w:eastAsia="宋体" w:cs="@仿宋_GB2312"/>
                <w:bCs/>
                <w:kern w:val="2"/>
                <w:sz w:val="24"/>
                <w:szCs w:val="28"/>
                <w:highlight w:val="none"/>
              </w:rPr>
              <w:t>供应商最后报价均不得高于磋商文件（公告）列明的项目预算、最高投标限价，否则其响应文件将被认定为响应无效。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pPr>
              <w:spacing w:line="360" w:lineRule="auto"/>
              <w:jc w:val="center"/>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5</w:t>
            </w:r>
          </w:p>
        </w:tc>
        <w:tc>
          <w:tcPr>
            <w:tcW w:w="749" w:type="pct"/>
            <w:vAlign w:val="center"/>
          </w:tcPr>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重要说明</w:t>
            </w:r>
          </w:p>
        </w:tc>
        <w:tc>
          <w:tcPr>
            <w:tcW w:w="3688" w:type="pct"/>
            <w:vAlign w:val="center"/>
          </w:tcPr>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（1）本项目的磋商文件、工程量清单、最高投标限价（控制价）、澄清、修改、补充等相关资料均通过电子服务系统发布，请供应商自行从网上下载，供应商应当及时查看有无相关澄清、修改、补充等内容。</w:t>
            </w:r>
          </w:p>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（2）在工程项目磋商过程中，供应商最后报价与公布的最高投标限价（控制价）或项目概算相比降幅过小，或供应商最后报价明显缺乏竞争性的，磋商小组可以否决其报价。</w:t>
            </w:r>
          </w:p>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（3）注册地不在合肥市行政区域范围（含四县一市）的</w:t>
            </w:r>
            <w:r>
              <w:rPr>
                <w:rFonts w:hint="eastAsia" w:ascii="宋体" w:hAnsi="宋体" w:eastAsia="宋体" w:cs="@仿宋_GB2312"/>
                <w:kern w:val="2"/>
                <w:sz w:val="24"/>
                <w:szCs w:val="22"/>
                <w:highlight w:val="none"/>
                <w:lang w:val="en-US" w:eastAsia="zh-CN"/>
              </w:rPr>
              <w:t>成交供应商</w:t>
            </w:r>
            <w:r>
              <w:rPr>
                <w:rFonts w:hint="eastAsia" w:ascii="宋体" w:hAnsi="宋体" w:eastAsia="宋体" w:cs="@仿宋_GB2312"/>
                <w:kern w:val="2"/>
                <w:sz w:val="24"/>
                <w:szCs w:val="22"/>
                <w:highlight w:val="none"/>
              </w:rPr>
              <w:t>，应按照国家税务总局规定，在建筑服务发生地及时足额预缴增值税。</w:t>
            </w:r>
          </w:p>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（4）</w:t>
            </w:r>
            <w:r>
              <w:rPr>
                <w:rFonts w:hint="eastAsia" w:ascii="宋体" w:hAnsi="宋体" w:eastAsia="宋体" w:cs="@仿宋_GB2312"/>
                <w:kern w:val="2"/>
                <w:sz w:val="24"/>
                <w:szCs w:val="22"/>
                <w:highlight w:val="none"/>
                <w:lang w:val="en-US" w:eastAsia="zh-CN"/>
              </w:rPr>
              <w:t>供应商</w:t>
            </w:r>
            <w:r>
              <w:rPr>
                <w:rFonts w:hint="eastAsia" w:ascii="宋体" w:hAnsi="宋体" w:eastAsia="宋体" w:cs="@仿宋_GB2312"/>
                <w:kern w:val="2"/>
                <w:sz w:val="24"/>
                <w:szCs w:val="22"/>
                <w:highlight w:val="none"/>
              </w:rPr>
              <w:t>在工程实施过程中用工行为，必须严格执行国家及地方政府的有关规定，依法签订劳动合同，并按规定及时足额支付工资。</w:t>
            </w:r>
          </w:p>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（5）</w:t>
            </w:r>
            <w:r>
              <w:rPr>
                <w:rFonts w:hint="eastAsia" w:ascii="Calibri" w:hAnsi="Calibri" w:eastAsia="宋体" w:cs="@仿宋_GB2312"/>
                <w:kern w:val="2"/>
                <w:sz w:val="24"/>
                <w:szCs w:val="22"/>
                <w:highlight w:val="none"/>
              </w:rPr>
              <w:t>建设工程不可竞争费构成及计费标准按 《关于调整合肥市建设工程不可竞争费构成及计费标准的通知》（合造价〔2021〕5号）执行，本工程最高投标限价（控制价）已按规定的措施项目、费率和单价列出采购工程施工扬尘污染防治费用和建筑工人实名制管理费用清单，供应商应承诺报价中已包含采购文件公布的施工扬尘污染防治费用和建筑工人实名制管理费用。工程竣工结算时，未落实的施工扬尘污染防治和建筑工人实名制管理措施项目, 应按清单所列金额从工程结算价款中扣除。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pPr>
              <w:spacing w:line="360" w:lineRule="auto"/>
              <w:jc w:val="center"/>
              <w:rPr>
                <w:rFonts w:ascii="宋体" w:hAnsi="宋体" w:eastAsia="宋体" w:cs="@仿宋_GB2312"/>
                <w:kern w:val="2"/>
                <w:sz w:val="24"/>
                <w:szCs w:val="22"/>
                <w:highlight w:val="none"/>
              </w:rPr>
            </w:pPr>
            <w:r>
              <w:rPr>
                <w:rFonts w:ascii="宋体" w:hAnsi="宋体" w:eastAsia="宋体" w:cs="@仿宋_GB2312"/>
                <w:kern w:val="2"/>
                <w:sz w:val="24"/>
                <w:szCs w:val="22"/>
                <w:highlight w:val="none"/>
              </w:rPr>
              <w:t>6</w:t>
            </w:r>
          </w:p>
        </w:tc>
        <w:tc>
          <w:tcPr>
            <w:tcW w:w="749" w:type="pct"/>
            <w:vAlign w:val="center"/>
          </w:tcPr>
          <w:p>
            <w:pPr>
              <w:spacing w:line="360" w:lineRule="auto"/>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项目经理</w:t>
            </w:r>
          </w:p>
        </w:tc>
        <w:tc>
          <w:tcPr>
            <w:tcW w:w="3688" w:type="pct"/>
            <w:vAlign w:val="center"/>
          </w:tcPr>
          <w:p>
            <w:pPr>
              <w:spacing w:line="360" w:lineRule="auto"/>
              <w:rPr>
                <w:rFonts w:ascii="Calibri" w:hAnsi="Calibri" w:eastAsia="宋体" w:cs="Times New Roman"/>
                <w:color w:val="000000"/>
                <w:kern w:val="0"/>
                <w:sz w:val="24"/>
                <w:szCs w:val="20"/>
                <w:highlight w:val="none"/>
              </w:rPr>
            </w:pPr>
            <w:r>
              <w:rPr>
                <w:rFonts w:hint="eastAsia" w:ascii="Calibri" w:hAnsi="Calibri" w:eastAsia="宋体" w:cs="Times New Roman"/>
                <w:color w:val="000000"/>
                <w:kern w:val="2"/>
                <w:sz w:val="24"/>
                <w:szCs w:val="20"/>
                <w:highlight w:val="none"/>
                <w:lang w:val="en-US" w:eastAsia="zh-CN"/>
              </w:rPr>
              <w:t>须具备建筑工程专业二级及以上注册建造师执业资格，且具备有效的安全生产考核合格证书（B 证），且目前未在其他项目上任职或虽在其他项目上任职但本项目中标后能够从该项目撤离。</w:t>
            </w:r>
          </w:p>
          <w:p>
            <w:pPr>
              <w:spacing w:line="360" w:lineRule="auto"/>
              <w:rPr>
                <w:rFonts w:ascii="宋体" w:hAnsi="宋体" w:eastAsia="宋体" w:cs="@仿宋_GB2312"/>
                <w:kern w:val="2"/>
                <w:sz w:val="24"/>
                <w:szCs w:val="22"/>
                <w:highlight w:val="none"/>
              </w:rPr>
            </w:pPr>
            <w:r>
              <w:rPr>
                <w:rFonts w:hint="eastAsia" w:ascii="Calibri" w:hAnsi="Calibri" w:eastAsia="宋体" w:cs="Times New Roman"/>
                <w:b/>
                <w:color w:val="000000"/>
                <w:kern w:val="2"/>
                <w:sz w:val="24"/>
                <w:szCs w:val="20"/>
                <w:highlight w:val="none"/>
              </w:rPr>
              <w:t>注：具体证明材料要求详见第四章《评审方法和标准》中初审表“项目经理”要求</w:t>
            </w:r>
            <w:r>
              <w:rPr>
                <w:rFonts w:hint="eastAsia" w:ascii="Calibri" w:hAnsi="Calibri" w:eastAsia="宋体" w:cs="宋体"/>
                <w:b/>
                <w:bCs/>
                <w:kern w:val="2"/>
                <w:sz w:val="24"/>
                <w:szCs w:val="22"/>
                <w:highlight w:val="none"/>
              </w:rPr>
              <w:t>（如为一级建造师，证书相关要求须满足供应商须知前附表35.5的规定）。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pPr>
              <w:spacing w:line="360" w:lineRule="auto"/>
              <w:jc w:val="center"/>
              <w:rPr>
                <w:rFonts w:ascii="宋体" w:hAnsi="宋体" w:eastAsia="宋体" w:cs="@仿宋_GB2312"/>
                <w:kern w:val="2"/>
                <w:sz w:val="24"/>
                <w:szCs w:val="22"/>
                <w:highlight w:val="none"/>
              </w:rPr>
            </w:pPr>
            <w:r>
              <w:rPr>
                <w:rFonts w:ascii="宋体" w:hAnsi="宋体" w:eastAsia="宋体" w:cs="@仿宋_GB2312"/>
                <w:kern w:val="2"/>
                <w:sz w:val="24"/>
                <w:szCs w:val="22"/>
                <w:highlight w:val="none"/>
              </w:rPr>
              <w:t>7</w:t>
            </w:r>
          </w:p>
        </w:tc>
        <w:tc>
          <w:tcPr>
            <w:tcW w:w="749" w:type="pct"/>
            <w:vAlign w:val="center"/>
          </w:tcPr>
          <w:p>
            <w:pPr>
              <w:spacing w:line="360" w:lineRule="auto"/>
              <w:jc w:val="center"/>
              <w:rPr>
                <w:rFonts w:hint="eastAsia" w:ascii="宋体" w:hAnsi="宋体" w:eastAsia="宋体" w:cs="@仿宋_GB2312"/>
                <w:kern w:val="2"/>
                <w:sz w:val="24"/>
                <w:szCs w:val="22"/>
                <w:highlight w:val="none"/>
                <w:lang w:eastAsia="zh-CN"/>
              </w:rPr>
            </w:pPr>
            <w:r>
              <w:rPr>
                <w:rFonts w:hint="eastAsia" w:ascii="宋体" w:hAnsi="宋体" w:eastAsia="宋体" w:cs="@仿宋_GB2312"/>
                <w:bCs/>
                <w:kern w:val="2"/>
                <w:sz w:val="24"/>
                <w:szCs w:val="28"/>
                <w:highlight w:val="none"/>
              </w:rPr>
              <w:t>初审业绩</w:t>
            </w:r>
          </w:p>
        </w:tc>
        <w:tc>
          <w:tcPr>
            <w:tcW w:w="3688" w:type="pct"/>
            <w:vAlign w:val="center"/>
          </w:tcPr>
          <w:p>
            <w:pPr>
              <w:spacing w:line="360" w:lineRule="auto"/>
              <w:rPr>
                <w:rFonts w:ascii="Calibri" w:hAnsi="Calibri" w:eastAsia="宋体" w:cs="宋体"/>
                <w:kern w:val="2"/>
                <w:sz w:val="24"/>
                <w:szCs w:val="22"/>
                <w:highlight w:val="none"/>
              </w:rPr>
            </w:pPr>
            <w:r>
              <w:rPr>
                <w:rFonts w:hint="eastAsia" w:ascii="Calibri" w:hAnsi="Calibri" w:eastAsia="宋体" w:cs="宋体"/>
                <w:kern w:val="2"/>
                <w:sz w:val="24"/>
                <w:szCs w:val="22"/>
                <w:highlight w:val="none"/>
              </w:rPr>
              <w:t>自20</w:t>
            </w:r>
            <w:r>
              <w:rPr>
                <w:rFonts w:hint="eastAsia" w:ascii="Calibri" w:hAnsi="Calibri" w:eastAsia="宋体" w:cs="宋体"/>
                <w:kern w:val="2"/>
                <w:sz w:val="24"/>
                <w:szCs w:val="22"/>
                <w:highlight w:val="none"/>
                <w:lang w:val="en-US" w:eastAsia="zh-CN"/>
              </w:rPr>
              <w:t>21</w:t>
            </w:r>
            <w:r>
              <w:rPr>
                <w:rFonts w:hint="eastAsia" w:ascii="Calibri" w:hAnsi="Calibri" w:eastAsia="宋体" w:cs="宋体"/>
                <w:kern w:val="2"/>
                <w:sz w:val="24"/>
                <w:szCs w:val="22"/>
                <w:highlight w:val="none"/>
              </w:rPr>
              <w:t>年</w:t>
            </w:r>
            <w:r>
              <w:rPr>
                <w:rFonts w:hint="eastAsia" w:ascii="Calibri" w:hAnsi="Calibri" w:eastAsia="宋体" w:cs="宋体"/>
                <w:kern w:val="2"/>
                <w:sz w:val="24"/>
                <w:szCs w:val="22"/>
                <w:highlight w:val="none"/>
                <w:lang w:val="en-US" w:eastAsia="zh-CN"/>
              </w:rPr>
              <w:t>6</w:t>
            </w:r>
            <w:r>
              <w:rPr>
                <w:rFonts w:hint="eastAsia" w:ascii="Calibri" w:hAnsi="Calibri" w:eastAsia="宋体" w:cs="宋体"/>
                <w:kern w:val="2"/>
                <w:sz w:val="24"/>
                <w:szCs w:val="22"/>
                <w:highlight w:val="none"/>
              </w:rPr>
              <w:t>月1日以来（以合同签订时间为准），供应商具有单个施工合同金额不低于50万元的装饰装修施工业绩。</w:t>
            </w:r>
          </w:p>
          <w:p>
            <w:pPr>
              <w:spacing w:line="360" w:lineRule="auto"/>
              <w:jc w:val="left"/>
              <w:rPr>
                <w:rFonts w:ascii="宋体" w:hAnsi="宋体" w:eastAsia="宋体" w:cs="@仿宋_GB2312"/>
                <w:b/>
                <w:bCs/>
                <w:kern w:val="2"/>
                <w:sz w:val="24"/>
                <w:szCs w:val="22"/>
                <w:highlight w:val="none"/>
              </w:rPr>
            </w:pPr>
            <w:r>
              <w:rPr>
                <w:rFonts w:hint="eastAsia" w:ascii="Calibri" w:hAnsi="Calibri" w:eastAsia="宋体" w:cs="宋体"/>
                <w:b/>
                <w:bCs/>
                <w:kern w:val="2"/>
                <w:sz w:val="24"/>
                <w:szCs w:val="22"/>
                <w:highlight w:val="none"/>
              </w:rPr>
              <w:t>注：响应文件中须同时提供业绩合同及相应的交/竣工验收证明文件扫描件。如前述证明材料无法体现合同签订时间、工程内容等评审因素的，须另提供加盖有业主单位公章的证明材料予以辅证。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pPr>
              <w:spacing w:line="360" w:lineRule="auto"/>
              <w:jc w:val="center"/>
              <w:rPr>
                <w:rFonts w:ascii="宋体" w:hAnsi="宋体" w:eastAsia="宋体" w:cs="@仿宋_GB2312"/>
                <w:kern w:val="2"/>
                <w:sz w:val="24"/>
                <w:szCs w:val="22"/>
                <w:highlight w:val="none"/>
              </w:rPr>
            </w:pPr>
            <w:r>
              <w:rPr>
                <w:rFonts w:hint="eastAsia" w:ascii="宋体" w:hAnsi="宋体" w:eastAsia="宋体" w:cs="@仿宋_GB2312"/>
                <w:kern w:val="2"/>
                <w:sz w:val="24"/>
                <w:szCs w:val="22"/>
                <w:highlight w:val="none"/>
              </w:rPr>
              <w:t>8</w:t>
            </w:r>
          </w:p>
        </w:tc>
        <w:tc>
          <w:tcPr>
            <w:tcW w:w="749" w:type="pct"/>
            <w:vAlign w:val="center"/>
          </w:tcPr>
          <w:p>
            <w:pPr>
              <w:spacing w:line="360" w:lineRule="auto"/>
              <w:rPr>
                <w:rFonts w:hint="default" w:ascii="宋体" w:hAnsi="宋体" w:eastAsia="宋体" w:cs="@仿宋_GB2312"/>
                <w:kern w:val="2"/>
                <w:sz w:val="24"/>
                <w:szCs w:val="22"/>
                <w:highlight w:val="none"/>
                <w:lang w:val="en-US" w:eastAsia="zh-CN"/>
              </w:rPr>
            </w:pPr>
            <w:r>
              <w:rPr>
                <w:rFonts w:hint="eastAsia" w:ascii="宋体" w:hAnsi="宋体" w:eastAsia="宋体" w:cs="@仿宋_GB2312"/>
                <w:kern w:val="2"/>
                <w:sz w:val="24"/>
                <w:szCs w:val="22"/>
                <w:highlight w:val="none"/>
                <w:lang w:val="en-US" w:eastAsia="zh-CN"/>
              </w:rPr>
              <w:t>付款方式</w:t>
            </w:r>
          </w:p>
        </w:tc>
        <w:tc>
          <w:tcPr>
            <w:tcW w:w="3688" w:type="pct"/>
            <w:vAlign w:val="center"/>
          </w:tcPr>
          <w:p>
            <w:pPr>
              <w:numPr>
                <w:ilvl w:val="0"/>
                <w:numId w:val="1"/>
              </w:numPr>
              <w:spacing w:line="360" w:lineRule="auto"/>
              <w:rPr>
                <w:rFonts w:hint="eastAsia" w:ascii="宋体" w:hAnsi="宋体" w:eastAsia="宋体" w:cs="宋体"/>
                <w:kern w:val="2"/>
                <w:sz w:val="24"/>
                <w:szCs w:val="22"/>
                <w:highlight w:val="none"/>
                <w:lang w:val="en-US" w:eastAsia="zh-CN"/>
              </w:rPr>
            </w:pPr>
            <w:r>
              <w:rPr>
                <w:rFonts w:hint="eastAsia" w:ascii="宋体" w:hAnsi="宋体" w:eastAsia="宋体" w:cs="宋体"/>
                <w:kern w:val="2"/>
                <w:sz w:val="24"/>
                <w:szCs w:val="22"/>
                <w:highlight w:val="none"/>
                <w:lang w:val="en-US" w:eastAsia="zh-CN"/>
              </w:rPr>
              <w:t>竣工验收合格后支付工程竣工审计价的 97%，剩余 3% 作为质保金，待 2 年缺陷责任期满后一次性退还。</w:t>
            </w:r>
          </w:p>
          <w:p>
            <w:pPr>
              <w:numPr>
                <w:ilvl w:val="0"/>
                <w:numId w:val="1"/>
              </w:numPr>
              <w:spacing w:line="360" w:lineRule="auto"/>
              <w:rPr>
                <w:rFonts w:hint="default" w:ascii="宋体" w:hAnsi="宋体" w:eastAsia="宋体" w:cs="宋体"/>
                <w:kern w:val="2"/>
                <w:sz w:val="24"/>
                <w:szCs w:val="22"/>
                <w:highlight w:val="none"/>
                <w:lang w:val="en-US" w:eastAsia="zh-CN"/>
              </w:rPr>
            </w:pPr>
            <w:r>
              <w:rPr>
                <w:rFonts w:hint="eastAsia" w:ascii="宋体" w:hAnsi="宋体" w:eastAsia="宋体" w:cs="宋体"/>
                <w:kern w:val="2"/>
                <w:sz w:val="24"/>
                <w:szCs w:val="22"/>
                <w:highlight w:val="none"/>
                <w:lang w:val="en-US" w:eastAsia="zh-CN"/>
              </w:rPr>
              <w:t>缺陷责任期：</w:t>
            </w:r>
            <w:r>
              <w:rPr>
                <w:rFonts w:hint="eastAsia" w:ascii="宋体" w:hAnsi="宋体" w:eastAsia="宋体" w:cs="宋体"/>
                <w:kern w:val="2"/>
                <w:sz w:val="24"/>
                <w:szCs w:val="22"/>
                <w:highlight w:val="none"/>
              </w:rPr>
              <w:t>竣工验收合格</w:t>
            </w:r>
            <w:r>
              <w:rPr>
                <w:rFonts w:hint="eastAsia" w:ascii="宋体" w:hAnsi="宋体" w:eastAsia="宋体" w:cs="宋体"/>
                <w:kern w:val="2"/>
                <w:sz w:val="24"/>
                <w:szCs w:val="22"/>
                <w:highlight w:val="none"/>
                <w:lang w:val="en-US" w:eastAsia="zh-CN"/>
              </w:rPr>
              <w:t>之日</w:t>
            </w:r>
            <w:r>
              <w:rPr>
                <w:rFonts w:hint="eastAsia" w:ascii="宋体" w:hAnsi="宋体" w:eastAsia="宋体" w:cs="宋体"/>
                <w:kern w:val="2"/>
                <w:sz w:val="24"/>
                <w:szCs w:val="22"/>
                <w:highlight w:val="none"/>
              </w:rPr>
              <w:t>起2年</w:t>
            </w:r>
            <w:r>
              <w:rPr>
                <w:rFonts w:hint="eastAsia" w:ascii="宋体" w:hAnsi="宋体" w:eastAsia="宋体" w:cs="宋体"/>
                <w:kern w:val="2"/>
                <w:sz w:val="24"/>
                <w:szCs w:val="22"/>
                <w:highlight w:val="none"/>
                <w:lang w:val="en-US" w:eastAsia="zh-CN"/>
              </w:rPr>
              <w:t>。</w:t>
            </w:r>
          </w:p>
          <w:p>
            <w:pPr>
              <w:spacing w:line="500" w:lineRule="exact"/>
              <w:rPr>
                <w:rFonts w:hint="eastAsia" w:ascii="宋体" w:hAnsi="宋体" w:eastAsia="宋体" w:cs="宋体"/>
                <w:b/>
                <w:bCs/>
                <w:color w:val="auto"/>
                <w:kern w:val="2"/>
                <w:sz w:val="24"/>
                <w:szCs w:val="24"/>
                <w:highlight w:val="none"/>
                <w:lang w:bidi="ar"/>
              </w:rPr>
            </w:pPr>
            <w:r>
              <w:rPr>
                <w:rFonts w:hint="eastAsia" w:ascii="宋体" w:hAnsi="宋体" w:eastAsia="宋体" w:cs="宋体"/>
                <w:b/>
                <w:bCs/>
                <w:color w:val="auto"/>
                <w:kern w:val="2"/>
                <w:sz w:val="24"/>
                <w:szCs w:val="24"/>
                <w:highlight w:val="none"/>
                <w:lang w:val="en-US" w:eastAsia="zh-CN" w:bidi="ar"/>
              </w:rPr>
              <w:t xml:space="preserve">备注：（1）如中标人采用“银行保函或保证保险等方式”提交等额工程质量保证金，则在工程竣工结算完成后招标人应付至最终结算价款的 100%； </w:t>
            </w:r>
          </w:p>
          <w:p>
            <w:pPr>
              <w:spacing w:line="500" w:lineRule="exact"/>
              <w:rPr>
                <w:rFonts w:ascii="宋体" w:hAnsi="宋体" w:eastAsia="宋体" w:cs="Times New Roman"/>
                <w:kern w:val="2"/>
                <w:sz w:val="21"/>
                <w:szCs w:val="22"/>
                <w:highlight w:val="none"/>
              </w:rPr>
            </w:pPr>
            <w:r>
              <w:rPr>
                <w:rFonts w:hint="eastAsia" w:ascii="宋体" w:hAnsi="宋体" w:eastAsia="宋体" w:cs="宋体"/>
                <w:b/>
                <w:bCs/>
                <w:color w:val="auto"/>
                <w:kern w:val="2"/>
                <w:sz w:val="24"/>
                <w:szCs w:val="24"/>
                <w:highlight w:val="none"/>
                <w:lang w:val="en-US" w:eastAsia="zh-CN" w:bidi="ar"/>
              </w:rPr>
              <w:t xml:space="preserve">（2）上述“银行保函或保证保险等方式”的格式详见合肥市城乡建设局 2020 年 3 月 5 日所发的《关于以保函等方式替代工程质量保证金的通知》中的示范文本为准，且该保函所载明保证责任最高限额为结算定案价的 3%，保函的有效期为 2 年。 </w:t>
            </w:r>
          </w:p>
        </w:tc>
      </w:tr>
    </w:tbl>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lang w:val="en-US" w:eastAsia="zh-CN"/>
        </w:rPr>
        <w:t>1、推荐品牌表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160"/>
        <w:gridCol w:w="3735"/>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序号</w:t>
            </w:r>
          </w:p>
        </w:tc>
        <w:tc>
          <w:tcPr>
            <w:tcW w:w="2160" w:type="dxa"/>
          </w:tcPr>
          <w:p>
            <w:pPr>
              <w:spacing w:line="360" w:lineRule="auto"/>
              <w:jc w:val="center"/>
              <w:rPr>
                <w:rFonts w:hint="default"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材料名称</w:t>
            </w:r>
          </w:p>
        </w:tc>
        <w:tc>
          <w:tcPr>
            <w:tcW w:w="3735" w:type="dxa"/>
          </w:tcPr>
          <w:p>
            <w:pPr>
              <w:spacing w:line="360" w:lineRule="auto"/>
              <w:jc w:val="center"/>
              <w:rPr>
                <w:rFonts w:hint="default"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参考品牌</w:t>
            </w:r>
          </w:p>
        </w:tc>
        <w:tc>
          <w:tcPr>
            <w:tcW w:w="1604" w:type="dxa"/>
          </w:tcPr>
          <w:p>
            <w:pPr>
              <w:spacing w:line="360" w:lineRule="auto"/>
              <w:jc w:val="center"/>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default"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1</w:t>
            </w:r>
          </w:p>
        </w:tc>
        <w:tc>
          <w:tcPr>
            <w:tcW w:w="2160" w:type="dxa"/>
          </w:tcPr>
          <w:p>
            <w:pPr>
              <w:spacing w:line="360" w:lineRule="auto"/>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铝扣板</w:t>
            </w:r>
          </w:p>
        </w:tc>
        <w:tc>
          <w:tcPr>
            <w:tcW w:w="3735" w:type="dxa"/>
          </w:tcPr>
          <w:p>
            <w:pPr>
              <w:spacing w:line="360" w:lineRule="auto"/>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法狮龙、奥华、百思特</w:t>
            </w:r>
          </w:p>
        </w:tc>
        <w:tc>
          <w:tcPr>
            <w:tcW w:w="1604" w:type="dxa"/>
          </w:tcPr>
          <w:p>
            <w:pPr>
              <w:spacing w:line="360" w:lineRule="auto"/>
              <w:jc w:val="center"/>
              <w:rPr>
                <w:rFonts w:hint="default"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default"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2</w:t>
            </w:r>
          </w:p>
        </w:tc>
        <w:tc>
          <w:tcPr>
            <w:tcW w:w="2160" w:type="dxa"/>
          </w:tcPr>
          <w:p>
            <w:pPr>
              <w:spacing w:line="360" w:lineRule="auto"/>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 xml:space="preserve">铝塑板 </w:t>
            </w:r>
          </w:p>
        </w:tc>
        <w:tc>
          <w:tcPr>
            <w:tcW w:w="3735" w:type="dxa"/>
          </w:tcPr>
          <w:p>
            <w:pPr>
              <w:spacing w:line="360" w:lineRule="auto"/>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奥普、上海吉祥、百思特</w:t>
            </w:r>
          </w:p>
        </w:tc>
        <w:tc>
          <w:tcPr>
            <w:tcW w:w="1604" w:type="dxa"/>
          </w:tcPr>
          <w:p>
            <w:pPr>
              <w:spacing w:line="360" w:lineRule="auto"/>
              <w:jc w:val="center"/>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default"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3</w:t>
            </w:r>
          </w:p>
        </w:tc>
        <w:tc>
          <w:tcPr>
            <w:tcW w:w="2160" w:type="dxa"/>
          </w:tcPr>
          <w:p>
            <w:pPr>
              <w:spacing w:line="360" w:lineRule="auto"/>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洗手池（台盆）</w:t>
            </w:r>
          </w:p>
        </w:tc>
        <w:tc>
          <w:tcPr>
            <w:tcW w:w="3735" w:type="dxa"/>
          </w:tcPr>
          <w:p>
            <w:pPr>
              <w:spacing w:line="360" w:lineRule="auto"/>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TOTO、恒洁、科勒</w:t>
            </w:r>
          </w:p>
        </w:tc>
        <w:tc>
          <w:tcPr>
            <w:tcW w:w="1604" w:type="dxa"/>
          </w:tcPr>
          <w:p>
            <w:pPr>
              <w:spacing w:line="360" w:lineRule="auto"/>
              <w:jc w:val="center"/>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default"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4</w:t>
            </w:r>
          </w:p>
        </w:tc>
        <w:tc>
          <w:tcPr>
            <w:tcW w:w="2160" w:type="dxa"/>
          </w:tcPr>
          <w:p>
            <w:pPr>
              <w:spacing w:line="360" w:lineRule="auto"/>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水龙头</w:t>
            </w:r>
          </w:p>
        </w:tc>
        <w:tc>
          <w:tcPr>
            <w:tcW w:w="3735" w:type="dxa"/>
          </w:tcPr>
          <w:p>
            <w:pPr>
              <w:spacing w:line="360" w:lineRule="auto"/>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TOTO、恒洁、科勒</w:t>
            </w:r>
          </w:p>
        </w:tc>
        <w:tc>
          <w:tcPr>
            <w:tcW w:w="1604" w:type="dxa"/>
          </w:tcPr>
          <w:p>
            <w:pPr>
              <w:spacing w:line="360" w:lineRule="auto"/>
              <w:jc w:val="center"/>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default"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5</w:t>
            </w:r>
          </w:p>
        </w:tc>
        <w:tc>
          <w:tcPr>
            <w:tcW w:w="2160" w:type="dxa"/>
          </w:tcPr>
          <w:p>
            <w:pPr>
              <w:spacing w:line="360" w:lineRule="auto"/>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木门</w:t>
            </w:r>
          </w:p>
        </w:tc>
        <w:tc>
          <w:tcPr>
            <w:tcW w:w="3735" w:type="dxa"/>
          </w:tcPr>
          <w:p>
            <w:pPr>
              <w:spacing w:line="360" w:lineRule="auto"/>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步阳、TATA、盼盼</w:t>
            </w:r>
          </w:p>
        </w:tc>
        <w:tc>
          <w:tcPr>
            <w:tcW w:w="1604" w:type="dxa"/>
          </w:tcPr>
          <w:p>
            <w:pPr>
              <w:spacing w:line="360" w:lineRule="auto"/>
              <w:jc w:val="center"/>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6</w:t>
            </w:r>
          </w:p>
        </w:tc>
        <w:tc>
          <w:tcPr>
            <w:tcW w:w="2160"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木门套</w:t>
            </w:r>
          </w:p>
        </w:tc>
        <w:tc>
          <w:tcPr>
            <w:tcW w:w="3735"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步阳、TATA、盼盼</w:t>
            </w:r>
          </w:p>
        </w:tc>
        <w:tc>
          <w:tcPr>
            <w:tcW w:w="1604" w:type="dxa"/>
          </w:tcPr>
          <w:p>
            <w:pPr>
              <w:spacing w:line="360" w:lineRule="auto"/>
              <w:jc w:val="center"/>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7</w:t>
            </w:r>
          </w:p>
        </w:tc>
        <w:tc>
          <w:tcPr>
            <w:tcW w:w="2160"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轻钢龙骨</w:t>
            </w:r>
          </w:p>
        </w:tc>
        <w:tc>
          <w:tcPr>
            <w:tcW w:w="3735"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拉法基、龙牌、泰山</w:t>
            </w:r>
          </w:p>
        </w:tc>
        <w:tc>
          <w:tcPr>
            <w:tcW w:w="1604" w:type="dxa"/>
          </w:tcPr>
          <w:p>
            <w:pPr>
              <w:spacing w:line="360" w:lineRule="auto"/>
              <w:jc w:val="center"/>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8</w:t>
            </w:r>
          </w:p>
        </w:tc>
        <w:tc>
          <w:tcPr>
            <w:tcW w:w="2160"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石膏板</w:t>
            </w:r>
          </w:p>
        </w:tc>
        <w:tc>
          <w:tcPr>
            <w:tcW w:w="3735"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拉法基、龙牌、泰山</w:t>
            </w:r>
          </w:p>
        </w:tc>
        <w:tc>
          <w:tcPr>
            <w:tcW w:w="1604" w:type="dxa"/>
          </w:tcPr>
          <w:p>
            <w:pPr>
              <w:spacing w:line="360" w:lineRule="auto"/>
              <w:jc w:val="center"/>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eastAsia"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9</w:t>
            </w:r>
          </w:p>
        </w:tc>
        <w:tc>
          <w:tcPr>
            <w:tcW w:w="2160"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18mm 阻燃胶合板</w:t>
            </w:r>
          </w:p>
        </w:tc>
        <w:tc>
          <w:tcPr>
            <w:tcW w:w="3735"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莫干山、兔宝宝、千年舟</w:t>
            </w:r>
          </w:p>
        </w:tc>
        <w:tc>
          <w:tcPr>
            <w:tcW w:w="1604" w:type="dxa"/>
          </w:tcPr>
          <w:p>
            <w:pPr>
              <w:spacing w:line="360" w:lineRule="auto"/>
              <w:jc w:val="center"/>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default"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10</w:t>
            </w:r>
          </w:p>
        </w:tc>
        <w:tc>
          <w:tcPr>
            <w:tcW w:w="2160"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结构胶、密封胶</w:t>
            </w:r>
          </w:p>
        </w:tc>
        <w:tc>
          <w:tcPr>
            <w:tcW w:w="3735"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广州白云、杭州之江、硅宝</w:t>
            </w:r>
          </w:p>
        </w:tc>
        <w:tc>
          <w:tcPr>
            <w:tcW w:w="1604" w:type="dxa"/>
          </w:tcPr>
          <w:p>
            <w:pPr>
              <w:spacing w:line="360" w:lineRule="auto"/>
              <w:jc w:val="center"/>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pPr>
              <w:spacing w:line="360" w:lineRule="auto"/>
              <w:jc w:val="center"/>
              <w:rPr>
                <w:rFonts w:hint="default" w:ascii="宋体" w:hAnsi="宋体" w:eastAsia="宋体" w:cs="Times New Roman"/>
                <w:kern w:val="0"/>
                <w:sz w:val="24"/>
                <w:highlight w:val="none"/>
                <w:vertAlign w:val="baseline"/>
                <w:lang w:val="en-US" w:eastAsia="zh-CN"/>
              </w:rPr>
            </w:pPr>
            <w:r>
              <w:rPr>
                <w:rFonts w:hint="eastAsia" w:ascii="宋体" w:hAnsi="宋体" w:eastAsia="宋体" w:cs="Times New Roman"/>
                <w:kern w:val="0"/>
                <w:sz w:val="24"/>
                <w:highlight w:val="none"/>
                <w:vertAlign w:val="baseline"/>
                <w:lang w:val="en-US" w:eastAsia="zh-CN"/>
              </w:rPr>
              <w:t>11</w:t>
            </w:r>
          </w:p>
        </w:tc>
        <w:tc>
          <w:tcPr>
            <w:tcW w:w="2160"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无机涂料</w:t>
            </w:r>
          </w:p>
        </w:tc>
        <w:tc>
          <w:tcPr>
            <w:tcW w:w="3735" w:type="dxa"/>
          </w:tcPr>
          <w:p>
            <w:pPr>
              <w:spacing w:line="360" w:lineRule="auto"/>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立邦、多乐士、华润</w:t>
            </w:r>
          </w:p>
        </w:tc>
        <w:tc>
          <w:tcPr>
            <w:tcW w:w="1604" w:type="dxa"/>
          </w:tcPr>
          <w:p>
            <w:pPr>
              <w:spacing w:line="360" w:lineRule="auto"/>
              <w:jc w:val="center"/>
              <w:rPr>
                <w:rFonts w:ascii="宋体" w:hAnsi="宋体" w:eastAsia="宋体" w:cs="Times New Roman"/>
                <w:kern w:val="0"/>
                <w:sz w:val="24"/>
                <w:highlight w:val="none"/>
                <w:vertAlign w:val="baseline"/>
              </w:rPr>
            </w:pPr>
            <w:r>
              <w:rPr>
                <w:rFonts w:hint="eastAsia" w:ascii="宋体" w:hAnsi="宋体" w:eastAsia="宋体" w:cs="Times New Roman"/>
                <w:kern w:val="0"/>
                <w:sz w:val="24"/>
                <w:highlight w:val="none"/>
                <w:vertAlign w:val="baseline"/>
                <w:lang w:val="en-US" w:eastAsia="zh-CN"/>
              </w:rPr>
              <w:t>国标</w:t>
            </w:r>
          </w:p>
        </w:tc>
      </w:tr>
    </w:tbl>
    <w:p>
      <w:pPr>
        <w:spacing w:line="360" w:lineRule="auto"/>
        <w:rPr>
          <w:rFonts w:ascii="宋体" w:hAnsi="宋体" w:eastAsia="宋体" w:cs="Times New Roman"/>
          <w:kern w:val="0"/>
          <w:sz w:val="24"/>
          <w:highlight w:val="none"/>
        </w:rPr>
      </w:pPr>
      <w:r>
        <w:rPr>
          <w:rFonts w:hint="eastAsia" w:ascii="宋体" w:hAnsi="宋体" w:eastAsia="宋体" w:cs="Times New Roman"/>
          <w:kern w:val="0"/>
          <w:sz w:val="24"/>
          <w:highlight w:val="none"/>
          <w:lang w:val="en-US" w:eastAsia="zh-CN"/>
        </w:rPr>
        <w:t xml:space="preserve">注：参考品牌不得少于三个，对于采购人参考品牌的材料、设备，供应商可选用参考品牌或不低于参考品牌技术性能指标的其他品牌；采用其他品牌的应在响应文件中注明并提供相关技术性能指标、业绩等供磋商小组评审，未在响应文件中注明且未提供相关技术性能指标、业绩，或经磋商小组评审未通过的，成交后只能从采购人参考品牌中进行选择，合同价格不予调整。 </w:t>
      </w:r>
    </w:p>
    <w:p>
      <w:pPr>
        <w:spacing w:line="360" w:lineRule="auto"/>
        <w:rPr>
          <w:rFonts w:ascii="宋体" w:hAnsi="宋体" w:eastAsia="宋体" w:cs="Times New Roman"/>
          <w:kern w:val="0"/>
          <w:sz w:val="24"/>
          <w:highlight w:val="none"/>
        </w:rPr>
      </w:pPr>
      <w:r>
        <w:rPr>
          <w:rFonts w:hint="eastAsia" w:ascii="宋体" w:hAnsi="宋体" w:eastAsia="宋体" w:cs="Times New Roman"/>
          <w:kern w:val="0"/>
          <w:sz w:val="24"/>
          <w:highlight w:val="none"/>
          <w:lang w:val="en-US" w:eastAsia="zh-CN"/>
        </w:rPr>
        <w:t xml:space="preserve">如图纸中出现特定性、唯一性品牌的表述，该品牌仅作为参考，施工过程中不具有限定性。 </w:t>
      </w:r>
    </w:p>
    <w:p>
      <w:pPr>
        <w:spacing w:line="360" w:lineRule="auto"/>
        <w:rPr>
          <w:rFonts w:ascii="宋体" w:hAnsi="宋体" w:eastAsia="宋体" w:cs="Times New Roman"/>
          <w:kern w:val="0"/>
          <w:sz w:val="24"/>
          <w:highlight w:val="none"/>
        </w:rPr>
      </w:pPr>
      <w:r>
        <w:rPr>
          <w:rFonts w:hint="eastAsia" w:ascii="宋体" w:hAnsi="宋体" w:eastAsia="宋体" w:cs="Times New Roman"/>
          <w:kern w:val="0"/>
          <w:sz w:val="24"/>
          <w:highlight w:val="none"/>
          <w:lang w:val="en-US" w:eastAsia="zh-CN"/>
        </w:rPr>
        <w:t xml:space="preserve">2、材料要求：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 </w:t>
      </w:r>
    </w:p>
    <w:p>
      <w:pPr>
        <w:spacing w:line="360" w:lineRule="auto"/>
        <w:rPr>
          <w:rFonts w:ascii="宋体" w:hAnsi="宋体" w:eastAsia="宋体" w:cs="Times New Roman"/>
          <w:kern w:val="0"/>
          <w:sz w:val="24"/>
          <w:highlight w:val="none"/>
        </w:rPr>
      </w:pPr>
      <w:r>
        <w:rPr>
          <w:rFonts w:hint="eastAsia" w:ascii="宋体" w:hAnsi="宋体" w:eastAsia="宋体" w:cs="Times New Roman"/>
          <w:kern w:val="0"/>
          <w:sz w:val="24"/>
          <w:highlight w:val="none"/>
          <w:lang w:val="en-US" w:eastAsia="zh-CN"/>
        </w:rPr>
        <w:t xml:space="preserve">3、本项目采用预拌砂浆。 </w:t>
      </w:r>
    </w:p>
    <w:p>
      <w:pPr>
        <w:spacing w:line="360" w:lineRule="auto"/>
        <w:rPr>
          <w:rFonts w:hint="eastAsia" w:ascii="宋体" w:hAnsi="宋体" w:eastAsia="宋体" w:cs="Times New Roman"/>
          <w:kern w:val="0"/>
          <w:sz w:val="24"/>
          <w:highlight w:val="none"/>
          <w:lang w:val="en-US" w:eastAsia="zh-CN"/>
        </w:rPr>
      </w:pPr>
      <w:r>
        <w:rPr>
          <w:rFonts w:hint="eastAsia" w:ascii="宋体" w:hAnsi="宋体" w:eastAsia="宋体" w:cs="Times New Roman"/>
          <w:kern w:val="0"/>
          <w:sz w:val="24"/>
          <w:highlight w:val="none"/>
          <w:lang w:val="en-US" w:eastAsia="zh-CN"/>
        </w:rPr>
        <w:t>4、由于医院的特殊性，为保证医院正常诊疗不受影响，本项目施工时间可能涉及夜间施工，请供应商知悉，成交后不予调整。</w:t>
      </w:r>
    </w:p>
    <w:p>
      <w:pPr>
        <w:spacing w:line="360" w:lineRule="auto"/>
        <w:rPr>
          <w:rFonts w:hint="eastAsia" w:ascii="宋体" w:hAnsi="宋体" w:eastAsia="宋体" w:cs="Times New Roman"/>
          <w:kern w:val="0"/>
          <w:sz w:val="24"/>
          <w:highlight w:val="none"/>
          <w:lang w:val="en-US" w:eastAsia="zh-CN"/>
        </w:rPr>
      </w:pPr>
      <w:r>
        <w:rPr>
          <w:rFonts w:hint="eastAsia" w:ascii="宋体" w:hAnsi="宋体" w:eastAsia="宋体" w:cs="Times New Roman"/>
          <w:kern w:val="0"/>
          <w:sz w:val="24"/>
          <w:highlight w:val="none"/>
          <w:lang w:val="en-US" w:eastAsia="zh-CN"/>
        </w:rPr>
        <w:t xml:space="preserve">5、成交供应商必须确保整体通过采购人及有关主管部门验收；供应商应自行踏勘项目现场，如供应商因未及时踏勘现场而导致的报价缺项漏项废标、或中标后无法完工，供应商自行承担一切后果； </w:t>
      </w:r>
    </w:p>
    <w:p>
      <w:pPr>
        <w:spacing w:line="360" w:lineRule="auto"/>
        <w:rPr>
          <w:rFonts w:hint="eastAsia" w:ascii="宋体" w:hAnsi="宋体" w:eastAsia="宋体" w:cs="Times New Roman"/>
          <w:kern w:val="0"/>
          <w:sz w:val="24"/>
          <w:highlight w:val="none"/>
          <w:lang w:val="en-US" w:eastAsia="zh-CN"/>
        </w:rPr>
      </w:pPr>
      <w:r>
        <w:rPr>
          <w:rFonts w:hint="eastAsia" w:ascii="宋体" w:hAnsi="宋体" w:eastAsia="宋体" w:cs="Times New Roman"/>
          <w:kern w:val="0"/>
          <w:sz w:val="24"/>
          <w:highlight w:val="none"/>
          <w:lang w:val="en-US" w:eastAsia="zh-CN"/>
        </w:rPr>
        <w:t xml:space="preserve">6、各项零星维修工作的要求、工艺、工程量详见工程量清单及品牌推荐表，原则上不得低于该清单要求提供维修施工服务；成交供应商不得擅自更改相关参数要求，如提供该清单描述以外同等档次品牌或高于该档次品牌的材料时，须征得采购人同意。未经采购人认定的材料严禁在本项目使用，已进场的材料需无条件退场，产生的一切费用由成交供应商自负； </w:t>
      </w:r>
    </w:p>
    <w:p>
      <w:pPr>
        <w:spacing w:line="360" w:lineRule="auto"/>
        <w:ind w:firstLine="480" w:firstLineChars="200"/>
        <w:rPr>
          <w:rFonts w:hint="eastAsia" w:ascii="宋体" w:hAnsi="宋体" w:eastAsia="宋体" w:cs="宋体"/>
          <w:sz w:val="24"/>
          <w:szCs w:val="24"/>
        </w:rPr>
      </w:pPr>
      <w:r>
        <w:rPr>
          <w:rFonts w:hint="eastAsia" w:ascii="宋体" w:hAnsi="宋体" w:eastAsia="宋体" w:cs="Times New Roman"/>
          <w:kern w:val="0"/>
          <w:sz w:val="24"/>
          <w:highlight w:val="none"/>
          <w:lang w:val="en-US" w:eastAsia="zh-CN"/>
        </w:rPr>
        <w:t xml:space="preserve">7、如对本磋商文件有任何疑问或澄清要求，请按本磋商文件中约定方式联系采购人，或在询问截止时间前联系采购人，否则视同理解和接受，开标后采购人不再受理对磋商文件条款提出的质疑。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EEC5"/>
    <w:multiLevelType w:val="singleLevel"/>
    <w:tmpl w:val="09E1EE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ZTgyZDY1NTVkZjMxMzBmMzk4N2MzNGE5MTQwYmIifQ=="/>
  </w:docVars>
  <w:rsids>
    <w:rsidRoot w:val="00000000"/>
    <w:rsid w:val="1C332E62"/>
    <w:rsid w:val="2E6148F1"/>
    <w:rsid w:val="40D25D8B"/>
    <w:rsid w:val="40D47FDA"/>
    <w:rsid w:val="49FB277C"/>
    <w:rsid w:val="5BB7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autoRedefine/>
    <w:qFormat/>
    <w:uiPriority w:val="0"/>
    <w:pPr>
      <w:widowControl/>
      <w:spacing w:before="100" w:beforeAutospacing="1" w:after="100" w:afterAutospacing="1"/>
      <w:jc w:val="center"/>
    </w:pPr>
    <w:rPr>
      <w:b/>
      <w:bCs/>
      <w:kern w:val="0"/>
      <w:sz w:val="28"/>
      <w:szCs w:val="28"/>
    </w:rPr>
  </w:style>
  <w:style w:type="table" w:customStyle="1" w:styleId="10">
    <w:name w:val="网格型2"/>
    <w:basedOn w:val="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Words>
  <Characters>18</Characters>
  <Lines>0</Lines>
  <Paragraphs>0</Paragraphs>
  <TotalTime>0</TotalTime>
  <ScaleCrop>false</ScaleCrop>
  <LinksUpToDate>false</LinksUpToDate>
  <CharactersWithSpaces>18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2024-03-13T05:56:00Z</dcterms:created>
  <dc:creator>admin</dc:creator>
  <cp:lastModifiedBy>Cai Ouyang</cp:lastModifiedBy>
  <dcterms:modified xsi:type="dcterms:W3CDTF">2024-05-10T09:58:31Z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920D55988FB74A22B95427B2CD3CF535_12</vt:lpwstr>
  </property>
</Properties>
</file>