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64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58"/>
        <w:gridCol w:w="1891"/>
        <w:gridCol w:w="6969"/>
      </w:tblGrid>
      <w:tr w14:paraId="18947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394" w:type="pct"/>
            <w:vAlign w:val="center"/>
          </w:tcPr>
          <w:p w14:paraId="6F215445">
            <w:pPr>
              <w:spacing w:line="360" w:lineRule="auto"/>
              <w:jc w:val="center"/>
              <w:rPr>
                <w:rFonts w:hint="eastAsia" w:ascii="宋体" w:hAnsi="宋体"/>
                <w:b/>
                <w:bCs/>
                <w:sz w:val="24"/>
                <w:szCs w:val="24"/>
                <w:highlight w:val="none"/>
              </w:rPr>
            </w:pPr>
            <w:r>
              <w:rPr>
                <w:rFonts w:hint="eastAsia" w:ascii="宋体" w:hAnsi="宋体"/>
                <w:b/>
                <w:bCs/>
                <w:sz w:val="24"/>
                <w:szCs w:val="24"/>
                <w:highlight w:val="none"/>
              </w:rPr>
              <w:t>序号</w:t>
            </w:r>
          </w:p>
        </w:tc>
        <w:tc>
          <w:tcPr>
            <w:tcW w:w="983" w:type="pct"/>
            <w:vAlign w:val="center"/>
          </w:tcPr>
          <w:p w14:paraId="540F192F">
            <w:pPr>
              <w:spacing w:line="360" w:lineRule="auto"/>
              <w:jc w:val="center"/>
              <w:rPr>
                <w:rFonts w:hint="eastAsia" w:ascii="宋体" w:hAnsi="宋体"/>
                <w:b/>
                <w:bCs/>
                <w:sz w:val="24"/>
                <w:szCs w:val="24"/>
                <w:highlight w:val="none"/>
              </w:rPr>
            </w:pPr>
            <w:r>
              <w:rPr>
                <w:rFonts w:hint="eastAsia" w:ascii="宋体" w:hAnsi="宋体"/>
                <w:b/>
                <w:bCs/>
                <w:sz w:val="24"/>
                <w:szCs w:val="24"/>
                <w:highlight w:val="none"/>
              </w:rPr>
              <w:t>维保服务支持</w:t>
            </w:r>
          </w:p>
        </w:tc>
        <w:tc>
          <w:tcPr>
            <w:tcW w:w="3622" w:type="pct"/>
            <w:vAlign w:val="center"/>
          </w:tcPr>
          <w:p w14:paraId="4C16A145">
            <w:pPr>
              <w:spacing w:line="360" w:lineRule="auto"/>
              <w:jc w:val="center"/>
              <w:rPr>
                <w:rFonts w:hint="eastAsia" w:ascii="宋体" w:hAnsi="宋体"/>
                <w:b/>
                <w:bCs/>
                <w:sz w:val="24"/>
                <w:szCs w:val="24"/>
                <w:highlight w:val="none"/>
              </w:rPr>
            </w:pPr>
            <w:r>
              <w:rPr>
                <w:rFonts w:hint="eastAsia" w:ascii="宋体" w:hAnsi="宋体"/>
                <w:b/>
                <w:bCs/>
                <w:sz w:val="24"/>
                <w:szCs w:val="24"/>
                <w:highlight w:val="none"/>
              </w:rPr>
              <w:t>详细参数</w:t>
            </w:r>
          </w:p>
        </w:tc>
      </w:tr>
      <w:tr w14:paraId="00CD6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7" w:hRule="atLeast"/>
          <w:jc w:val="center"/>
        </w:trPr>
        <w:tc>
          <w:tcPr>
            <w:tcW w:w="394" w:type="pct"/>
            <w:vMerge w:val="restart"/>
            <w:vAlign w:val="center"/>
          </w:tcPr>
          <w:p w14:paraId="4272C76C">
            <w:pPr>
              <w:spacing w:line="360" w:lineRule="auto"/>
              <w:jc w:val="center"/>
              <w:rPr>
                <w:rFonts w:hint="eastAsia" w:ascii="宋体" w:hAnsi="宋体"/>
                <w:sz w:val="24"/>
                <w:highlight w:val="none"/>
              </w:rPr>
            </w:pPr>
            <w:r>
              <w:rPr>
                <w:rFonts w:hint="eastAsia" w:ascii="宋体" w:hAnsi="宋体"/>
                <w:sz w:val="24"/>
                <w:highlight w:val="none"/>
              </w:rPr>
              <w:t>1</w:t>
            </w:r>
          </w:p>
        </w:tc>
        <w:tc>
          <w:tcPr>
            <w:tcW w:w="983" w:type="pct"/>
            <w:vMerge w:val="restart"/>
            <w:vAlign w:val="center"/>
          </w:tcPr>
          <w:p w14:paraId="1F459D84">
            <w:pPr>
              <w:spacing w:line="360" w:lineRule="auto"/>
              <w:jc w:val="center"/>
              <w:rPr>
                <w:rFonts w:hint="eastAsia" w:ascii="宋体" w:hAnsi="宋体"/>
                <w:sz w:val="24"/>
                <w:highlight w:val="none"/>
              </w:rPr>
            </w:pPr>
            <w:r>
              <w:rPr>
                <w:rFonts w:hint="eastAsia" w:ascii="宋体" w:hAnsi="宋体"/>
                <w:sz w:val="24"/>
                <w:highlight w:val="none"/>
              </w:rPr>
              <w:t>基本要求</w:t>
            </w:r>
          </w:p>
        </w:tc>
        <w:tc>
          <w:tcPr>
            <w:tcW w:w="3622" w:type="pct"/>
            <w:vAlign w:val="center"/>
          </w:tcPr>
          <w:p w14:paraId="408A1F9B">
            <w:pPr>
              <w:spacing w:line="360" w:lineRule="auto"/>
              <w:rPr>
                <w:rFonts w:hint="eastAsia" w:ascii="宋体" w:hAnsi="宋体"/>
                <w:sz w:val="22"/>
                <w:szCs w:val="22"/>
                <w:highlight w:val="none"/>
              </w:rPr>
            </w:pPr>
            <w:r>
              <w:rPr>
                <w:rFonts w:hint="eastAsia" w:ascii="宋体" w:hAnsi="宋体"/>
                <w:sz w:val="24"/>
                <w:highlight w:val="none"/>
              </w:rPr>
              <w:t>本次维保服务需由供应商提供必要的软件技术支持，提供软件系统的，应具备相应的《软件著作权登记证书》，提供加盖供应商公章的证书复印件。</w:t>
            </w:r>
          </w:p>
        </w:tc>
      </w:tr>
      <w:tr w14:paraId="43320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394" w:type="pct"/>
            <w:vMerge w:val="continue"/>
            <w:vAlign w:val="center"/>
          </w:tcPr>
          <w:p w14:paraId="43080498">
            <w:pPr>
              <w:spacing w:line="360" w:lineRule="auto"/>
              <w:rPr>
                <w:rFonts w:hint="eastAsia" w:ascii="宋体" w:hAnsi="宋体"/>
                <w:sz w:val="24"/>
                <w:highlight w:val="none"/>
              </w:rPr>
            </w:pPr>
          </w:p>
        </w:tc>
        <w:tc>
          <w:tcPr>
            <w:tcW w:w="983" w:type="pct"/>
            <w:vMerge w:val="continue"/>
            <w:vAlign w:val="center"/>
          </w:tcPr>
          <w:p w14:paraId="26A144E0">
            <w:pPr>
              <w:spacing w:line="360" w:lineRule="auto"/>
              <w:rPr>
                <w:rFonts w:hint="eastAsia" w:ascii="宋体" w:hAnsi="宋体"/>
                <w:sz w:val="24"/>
                <w:highlight w:val="none"/>
              </w:rPr>
            </w:pPr>
          </w:p>
        </w:tc>
        <w:tc>
          <w:tcPr>
            <w:tcW w:w="3622" w:type="pct"/>
            <w:vAlign w:val="center"/>
          </w:tcPr>
          <w:p w14:paraId="7EDEB68F">
            <w:pPr>
              <w:spacing w:line="360" w:lineRule="auto"/>
              <w:rPr>
                <w:rFonts w:hint="eastAsia" w:ascii="宋体" w:hAnsi="宋体"/>
                <w:sz w:val="24"/>
                <w:highlight w:val="none"/>
              </w:rPr>
            </w:pPr>
            <w:r>
              <w:rPr>
                <w:rFonts w:hint="eastAsia" w:ascii="宋体" w:hAnsi="宋体"/>
                <w:sz w:val="24"/>
                <w:highlight w:val="none"/>
              </w:rPr>
              <w:t>本次服务需提供多院区、一院两区等情况的技术支持。供应商应该具备分布部署及监控的技术能力。提供的技术支持涉及软件系统的，应具备相应的《软件著作权登记证书》 ，提供加盖供应商公章的产品截图及证书复印件。</w:t>
            </w:r>
          </w:p>
        </w:tc>
      </w:tr>
      <w:tr w14:paraId="03773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394" w:type="pct"/>
            <w:vMerge w:val="continue"/>
            <w:vAlign w:val="center"/>
          </w:tcPr>
          <w:p w14:paraId="46FA1EAD">
            <w:pPr>
              <w:spacing w:line="360" w:lineRule="auto"/>
              <w:rPr>
                <w:rFonts w:hint="eastAsia" w:ascii="宋体" w:hAnsi="宋体"/>
                <w:sz w:val="24"/>
                <w:highlight w:val="none"/>
              </w:rPr>
            </w:pPr>
          </w:p>
        </w:tc>
        <w:tc>
          <w:tcPr>
            <w:tcW w:w="983" w:type="pct"/>
            <w:vMerge w:val="continue"/>
            <w:vAlign w:val="center"/>
          </w:tcPr>
          <w:p w14:paraId="683C7B68">
            <w:pPr>
              <w:spacing w:line="360" w:lineRule="auto"/>
              <w:rPr>
                <w:rFonts w:hint="eastAsia" w:ascii="宋体" w:hAnsi="宋体"/>
                <w:sz w:val="24"/>
                <w:highlight w:val="none"/>
              </w:rPr>
            </w:pPr>
          </w:p>
        </w:tc>
        <w:tc>
          <w:tcPr>
            <w:tcW w:w="3622" w:type="pct"/>
            <w:vAlign w:val="center"/>
          </w:tcPr>
          <w:p w14:paraId="02806B7C">
            <w:pPr>
              <w:spacing w:line="360" w:lineRule="auto"/>
              <w:rPr>
                <w:rFonts w:hint="eastAsia" w:ascii="宋体" w:hAnsi="宋体"/>
                <w:sz w:val="24"/>
                <w:highlight w:val="none"/>
              </w:rPr>
            </w:pPr>
            <w:r>
              <w:rPr>
                <w:rFonts w:hint="eastAsia" w:ascii="宋体" w:hAnsi="宋体"/>
                <w:sz w:val="24"/>
                <w:highlight w:val="none"/>
              </w:rPr>
              <w:t>本次维保服务由供应商提供的技术支持应采用旁路部署方式，不需要更改现有网络结构、服务器相关配置，不得影响现有网络和业务的正常运行；应能独立完成审计数据采集，不依赖于数据库自身审计日志系统，不得在现有服务器上安装可能带来风险的程序。</w:t>
            </w:r>
          </w:p>
        </w:tc>
      </w:tr>
      <w:tr w14:paraId="2CF50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394" w:type="pct"/>
            <w:vMerge w:val="continue"/>
            <w:vAlign w:val="center"/>
          </w:tcPr>
          <w:p w14:paraId="2765B5DA">
            <w:pPr>
              <w:spacing w:line="360" w:lineRule="auto"/>
              <w:rPr>
                <w:rFonts w:hint="eastAsia" w:ascii="宋体" w:hAnsi="宋体"/>
                <w:sz w:val="24"/>
                <w:highlight w:val="none"/>
              </w:rPr>
            </w:pPr>
          </w:p>
        </w:tc>
        <w:tc>
          <w:tcPr>
            <w:tcW w:w="983" w:type="pct"/>
            <w:vMerge w:val="continue"/>
            <w:vAlign w:val="center"/>
          </w:tcPr>
          <w:p w14:paraId="5D57C4BA">
            <w:pPr>
              <w:spacing w:line="360" w:lineRule="auto"/>
              <w:rPr>
                <w:rFonts w:hint="eastAsia" w:ascii="宋体" w:hAnsi="宋体"/>
                <w:sz w:val="24"/>
                <w:highlight w:val="none"/>
              </w:rPr>
            </w:pPr>
          </w:p>
        </w:tc>
        <w:tc>
          <w:tcPr>
            <w:tcW w:w="3622" w:type="pct"/>
            <w:vAlign w:val="center"/>
          </w:tcPr>
          <w:p w14:paraId="5B2F4623">
            <w:pPr>
              <w:spacing w:line="360" w:lineRule="auto"/>
              <w:rPr>
                <w:rFonts w:hint="eastAsia" w:ascii="宋体" w:hAnsi="宋体"/>
                <w:sz w:val="24"/>
                <w:highlight w:val="none"/>
              </w:rPr>
            </w:pPr>
            <w:r>
              <w:rPr>
                <w:rFonts w:hint="eastAsia" w:ascii="宋体" w:hAnsi="宋体"/>
                <w:sz w:val="24"/>
                <w:highlight w:val="none"/>
              </w:rPr>
              <w:t>本次维保服务由供应商提供的技术支持确保最小报警监控时间间隔为5秒，保证统方事件的及时告警。</w:t>
            </w:r>
          </w:p>
        </w:tc>
      </w:tr>
      <w:tr w14:paraId="7FD7C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394" w:type="pct"/>
            <w:vMerge w:val="continue"/>
            <w:vAlign w:val="center"/>
          </w:tcPr>
          <w:p w14:paraId="0AA63637">
            <w:pPr>
              <w:spacing w:line="360" w:lineRule="auto"/>
              <w:rPr>
                <w:rFonts w:hint="eastAsia" w:ascii="宋体" w:hAnsi="宋体"/>
                <w:sz w:val="24"/>
                <w:highlight w:val="none"/>
              </w:rPr>
            </w:pPr>
          </w:p>
        </w:tc>
        <w:tc>
          <w:tcPr>
            <w:tcW w:w="983" w:type="pct"/>
            <w:vMerge w:val="continue"/>
            <w:vAlign w:val="center"/>
          </w:tcPr>
          <w:p w14:paraId="01802BF3">
            <w:pPr>
              <w:spacing w:line="360" w:lineRule="auto"/>
              <w:rPr>
                <w:rFonts w:hint="eastAsia" w:ascii="宋体" w:hAnsi="宋体"/>
                <w:sz w:val="24"/>
                <w:highlight w:val="none"/>
              </w:rPr>
            </w:pPr>
          </w:p>
        </w:tc>
        <w:tc>
          <w:tcPr>
            <w:tcW w:w="3622" w:type="pct"/>
            <w:vAlign w:val="center"/>
          </w:tcPr>
          <w:p w14:paraId="5F6CB261">
            <w:pPr>
              <w:spacing w:line="360" w:lineRule="auto"/>
              <w:rPr>
                <w:rFonts w:hint="eastAsia" w:ascii="宋体" w:hAnsi="宋体"/>
                <w:sz w:val="24"/>
                <w:highlight w:val="none"/>
              </w:rPr>
            </w:pPr>
            <w:r>
              <w:rPr>
                <w:rFonts w:hint="eastAsia" w:ascii="宋体" w:hAnsi="宋体"/>
                <w:sz w:val="24"/>
                <w:highlight w:val="none"/>
              </w:rPr>
              <w:t>本次维保服务由供应商提供的技术支持能够对Oracle、MS-SQL、DB2、MYSQL、CACHE DB、POSTGRESQL和Sybase 等数据库提供自动化评估、审计和保护功能,可审计的数据库或集群数量不少于6个，并且支持单家医疗机构多种类型数据库并存的信息系统。</w:t>
            </w:r>
          </w:p>
        </w:tc>
      </w:tr>
      <w:tr w14:paraId="45274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394" w:type="pct"/>
            <w:vMerge w:val="continue"/>
            <w:vAlign w:val="center"/>
          </w:tcPr>
          <w:p w14:paraId="2B9EF5A8">
            <w:pPr>
              <w:spacing w:line="360" w:lineRule="auto"/>
              <w:rPr>
                <w:rFonts w:hint="eastAsia" w:ascii="宋体" w:hAnsi="宋体"/>
                <w:sz w:val="24"/>
                <w:highlight w:val="none"/>
              </w:rPr>
            </w:pPr>
          </w:p>
        </w:tc>
        <w:tc>
          <w:tcPr>
            <w:tcW w:w="983" w:type="pct"/>
            <w:vMerge w:val="continue"/>
            <w:vAlign w:val="center"/>
          </w:tcPr>
          <w:p w14:paraId="62238237">
            <w:pPr>
              <w:spacing w:line="360" w:lineRule="auto"/>
              <w:rPr>
                <w:rFonts w:hint="eastAsia" w:ascii="宋体" w:hAnsi="宋体"/>
                <w:sz w:val="24"/>
                <w:highlight w:val="none"/>
              </w:rPr>
            </w:pPr>
          </w:p>
        </w:tc>
        <w:tc>
          <w:tcPr>
            <w:tcW w:w="3622" w:type="pct"/>
            <w:vAlign w:val="center"/>
          </w:tcPr>
          <w:p w14:paraId="7BC11025">
            <w:pPr>
              <w:spacing w:line="360" w:lineRule="auto"/>
              <w:rPr>
                <w:rFonts w:hint="eastAsia" w:ascii="宋体" w:hAnsi="宋体"/>
                <w:sz w:val="24"/>
                <w:highlight w:val="none"/>
              </w:rPr>
            </w:pPr>
            <w:r>
              <w:rPr>
                <w:rFonts w:hint="eastAsia" w:ascii="宋体" w:hAnsi="宋体"/>
                <w:sz w:val="24"/>
                <w:highlight w:val="none"/>
              </w:rPr>
              <w:t>本次维保服务由供应商提供的技术支持具备用户行为记录功能，记录用户所有的操作（业务访问、系统维护、策略配置等）。</w:t>
            </w:r>
          </w:p>
        </w:tc>
      </w:tr>
      <w:tr w14:paraId="07D18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394" w:type="pct"/>
            <w:vMerge w:val="continue"/>
            <w:vAlign w:val="center"/>
          </w:tcPr>
          <w:p w14:paraId="56ECB886">
            <w:pPr>
              <w:spacing w:line="360" w:lineRule="auto"/>
              <w:rPr>
                <w:rFonts w:hint="eastAsia" w:ascii="宋体" w:hAnsi="宋体"/>
                <w:sz w:val="24"/>
                <w:highlight w:val="none"/>
              </w:rPr>
            </w:pPr>
          </w:p>
        </w:tc>
        <w:tc>
          <w:tcPr>
            <w:tcW w:w="983" w:type="pct"/>
            <w:vMerge w:val="continue"/>
            <w:vAlign w:val="center"/>
          </w:tcPr>
          <w:p w14:paraId="67AF1038">
            <w:pPr>
              <w:spacing w:line="360" w:lineRule="auto"/>
              <w:rPr>
                <w:rFonts w:hint="eastAsia" w:ascii="宋体" w:hAnsi="宋体"/>
                <w:sz w:val="24"/>
                <w:highlight w:val="none"/>
              </w:rPr>
            </w:pPr>
          </w:p>
        </w:tc>
        <w:tc>
          <w:tcPr>
            <w:tcW w:w="3622" w:type="pct"/>
            <w:vAlign w:val="center"/>
          </w:tcPr>
          <w:p w14:paraId="04060AAF">
            <w:pPr>
              <w:spacing w:line="360" w:lineRule="auto"/>
              <w:rPr>
                <w:rFonts w:hint="eastAsia" w:ascii="宋体" w:hAnsi="宋体"/>
                <w:sz w:val="24"/>
                <w:highlight w:val="none"/>
              </w:rPr>
            </w:pPr>
            <w:r>
              <w:rPr>
                <w:rFonts w:hint="eastAsia" w:ascii="宋体" w:hAnsi="宋体"/>
                <w:sz w:val="24"/>
                <w:highlight w:val="none"/>
              </w:rPr>
              <w:t>供应商提供的服务能够从业务流程角度入手，结合核心数据特征，形成高度集成的“事前+事中+事后”数据防护手段。</w:t>
            </w:r>
          </w:p>
        </w:tc>
      </w:tr>
      <w:tr w14:paraId="6F7C6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394" w:type="pct"/>
            <w:vMerge w:val="continue"/>
            <w:vAlign w:val="center"/>
          </w:tcPr>
          <w:p w14:paraId="514562FF">
            <w:pPr>
              <w:spacing w:line="360" w:lineRule="auto"/>
              <w:rPr>
                <w:rFonts w:hint="eastAsia" w:ascii="宋体" w:hAnsi="宋体"/>
                <w:sz w:val="24"/>
                <w:highlight w:val="none"/>
              </w:rPr>
            </w:pPr>
          </w:p>
        </w:tc>
        <w:tc>
          <w:tcPr>
            <w:tcW w:w="983" w:type="pct"/>
            <w:vMerge w:val="continue"/>
            <w:vAlign w:val="center"/>
          </w:tcPr>
          <w:p w14:paraId="5E0BEEEB">
            <w:pPr>
              <w:spacing w:line="360" w:lineRule="auto"/>
              <w:rPr>
                <w:rFonts w:hint="eastAsia" w:ascii="宋体" w:hAnsi="宋体"/>
                <w:sz w:val="24"/>
                <w:highlight w:val="none"/>
              </w:rPr>
            </w:pPr>
          </w:p>
        </w:tc>
        <w:tc>
          <w:tcPr>
            <w:tcW w:w="3622" w:type="pct"/>
            <w:vAlign w:val="center"/>
          </w:tcPr>
          <w:p w14:paraId="1E75E927">
            <w:pPr>
              <w:spacing w:line="360" w:lineRule="auto"/>
              <w:rPr>
                <w:rFonts w:hint="eastAsia" w:ascii="宋体" w:hAnsi="宋体"/>
                <w:sz w:val="24"/>
                <w:highlight w:val="none"/>
              </w:rPr>
            </w:pPr>
            <w:r>
              <w:rPr>
                <w:rFonts w:hint="eastAsia" w:ascii="宋体" w:hAnsi="宋体"/>
                <w:sz w:val="24"/>
                <w:highlight w:val="none"/>
              </w:rPr>
              <w:t>提供的服务支持在线升级功能，通过厂家发布的升级包可在线对系统进行软件升级和规则库升级。</w:t>
            </w:r>
          </w:p>
        </w:tc>
      </w:tr>
      <w:tr w14:paraId="01D0C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394" w:type="pct"/>
            <w:vMerge w:val="continue"/>
            <w:vAlign w:val="center"/>
          </w:tcPr>
          <w:p w14:paraId="20213CDB">
            <w:pPr>
              <w:spacing w:line="360" w:lineRule="auto"/>
              <w:rPr>
                <w:rFonts w:hint="eastAsia" w:ascii="宋体" w:hAnsi="宋体"/>
                <w:sz w:val="24"/>
                <w:highlight w:val="none"/>
              </w:rPr>
            </w:pPr>
          </w:p>
        </w:tc>
        <w:tc>
          <w:tcPr>
            <w:tcW w:w="983" w:type="pct"/>
            <w:vMerge w:val="continue"/>
            <w:vAlign w:val="center"/>
          </w:tcPr>
          <w:p w14:paraId="78F82FA8">
            <w:pPr>
              <w:spacing w:line="360" w:lineRule="auto"/>
              <w:rPr>
                <w:rFonts w:hint="eastAsia" w:ascii="宋体" w:hAnsi="宋体"/>
                <w:sz w:val="24"/>
                <w:highlight w:val="none"/>
              </w:rPr>
            </w:pPr>
          </w:p>
        </w:tc>
        <w:tc>
          <w:tcPr>
            <w:tcW w:w="3622" w:type="pct"/>
            <w:vAlign w:val="center"/>
          </w:tcPr>
          <w:p w14:paraId="3ECAB249">
            <w:pPr>
              <w:spacing w:line="360" w:lineRule="auto"/>
              <w:rPr>
                <w:rFonts w:hint="eastAsia" w:ascii="宋体" w:hAnsi="宋体"/>
                <w:sz w:val="24"/>
                <w:highlight w:val="none"/>
              </w:rPr>
            </w:pPr>
            <w:r>
              <w:rPr>
                <w:rFonts w:hint="eastAsia" w:ascii="宋体" w:hAnsi="宋体"/>
                <w:sz w:val="24"/>
                <w:highlight w:val="none"/>
              </w:rPr>
              <w:t>系统为软硬一体机，支持千兆以上网络环境及大概至少1000个客户端同时并发的监控，应达到每秒100000个以上的事务处理能力。</w:t>
            </w:r>
          </w:p>
        </w:tc>
      </w:tr>
      <w:tr w14:paraId="07D8F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394" w:type="pct"/>
            <w:vMerge w:val="continue"/>
            <w:vAlign w:val="center"/>
          </w:tcPr>
          <w:p w14:paraId="624170A8">
            <w:pPr>
              <w:spacing w:line="360" w:lineRule="auto"/>
              <w:rPr>
                <w:rFonts w:hint="eastAsia" w:ascii="宋体" w:hAnsi="宋体"/>
                <w:sz w:val="24"/>
                <w:highlight w:val="none"/>
              </w:rPr>
            </w:pPr>
          </w:p>
        </w:tc>
        <w:tc>
          <w:tcPr>
            <w:tcW w:w="983" w:type="pct"/>
            <w:vMerge w:val="continue"/>
            <w:vAlign w:val="center"/>
          </w:tcPr>
          <w:p w14:paraId="55C2C1DD">
            <w:pPr>
              <w:spacing w:line="360" w:lineRule="auto"/>
              <w:rPr>
                <w:rFonts w:hint="eastAsia" w:ascii="宋体" w:hAnsi="宋体"/>
                <w:sz w:val="24"/>
                <w:highlight w:val="none"/>
              </w:rPr>
            </w:pPr>
          </w:p>
        </w:tc>
        <w:tc>
          <w:tcPr>
            <w:tcW w:w="3622" w:type="pct"/>
            <w:vAlign w:val="center"/>
          </w:tcPr>
          <w:p w14:paraId="35EC144B">
            <w:pPr>
              <w:spacing w:line="360" w:lineRule="auto"/>
              <w:rPr>
                <w:rFonts w:hint="eastAsia" w:ascii="宋体" w:hAnsi="宋体"/>
                <w:sz w:val="24"/>
                <w:highlight w:val="none"/>
              </w:rPr>
            </w:pPr>
            <w:r>
              <w:rPr>
                <w:rFonts w:hint="eastAsia" w:ascii="宋体" w:hAnsi="宋体"/>
                <w:sz w:val="24"/>
                <w:highlight w:val="none"/>
              </w:rPr>
              <w:t>供应商提供的维保服务应提供中文WEB管理界面以便于管理（兼容不同种类浏览器），并应可以根据不同的安全级别采用不同的实时告警响应方式，包括记录、消息、鸣音、邮件等，并能支持短信平台。</w:t>
            </w:r>
          </w:p>
        </w:tc>
      </w:tr>
      <w:tr w14:paraId="5E6DD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394" w:type="pct"/>
            <w:vMerge w:val="continue"/>
            <w:vAlign w:val="center"/>
          </w:tcPr>
          <w:p w14:paraId="30F7B282">
            <w:pPr>
              <w:spacing w:line="360" w:lineRule="auto"/>
              <w:rPr>
                <w:rFonts w:hint="eastAsia" w:ascii="宋体" w:hAnsi="宋体"/>
                <w:sz w:val="24"/>
                <w:highlight w:val="none"/>
              </w:rPr>
            </w:pPr>
          </w:p>
        </w:tc>
        <w:tc>
          <w:tcPr>
            <w:tcW w:w="983" w:type="pct"/>
            <w:vMerge w:val="continue"/>
            <w:vAlign w:val="center"/>
          </w:tcPr>
          <w:p w14:paraId="2AC94E87">
            <w:pPr>
              <w:spacing w:line="360" w:lineRule="auto"/>
              <w:rPr>
                <w:rFonts w:hint="eastAsia" w:ascii="宋体" w:hAnsi="宋体"/>
                <w:sz w:val="24"/>
                <w:highlight w:val="none"/>
              </w:rPr>
            </w:pPr>
          </w:p>
        </w:tc>
        <w:tc>
          <w:tcPr>
            <w:tcW w:w="3622" w:type="pct"/>
            <w:vAlign w:val="center"/>
          </w:tcPr>
          <w:p w14:paraId="6F43E492">
            <w:pPr>
              <w:spacing w:line="360" w:lineRule="auto"/>
              <w:rPr>
                <w:rFonts w:hint="eastAsia" w:ascii="宋体" w:hAnsi="宋体"/>
                <w:sz w:val="24"/>
                <w:highlight w:val="none"/>
              </w:rPr>
            </w:pPr>
            <w:r>
              <w:rPr>
                <w:rFonts w:hint="eastAsia" w:ascii="宋体" w:hAnsi="宋体"/>
                <w:sz w:val="24"/>
                <w:highlight w:val="none"/>
              </w:rPr>
              <w:t>供应商提供的维保服务支持审计数据能永久保存，并支持外接存储设备进行备份。数据进行加密保管，只能通过专门工具进行恢复和查询浏览。支持数据自动备份、手动备份且可修改备份策略。</w:t>
            </w:r>
          </w:p>
        </w:tc>
      </w:tr>
      <w:tr w14:paraId="235F6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66" w:hRule="atLeast"/>
          <w:jc w:val="center"/>
        </w:trPr>
        <w:tc>
          <w:tcPr>
            <w:tcW w:w="394" w:type="pct"/>
            <w:vMerge w:val="restart"/>
            <w:vAlign w:val="center"/>
          </w:tcPr>
          <w:p w14:paraId="35A0D38A">
            <w:pPr>
              <w:spacing w:line="360" w:lineRule="auto"/>
              <w:jc w:val="center"/>
              <w:rPr>
                <w:rFonts w:hint="eastAsia" w:ascii="宋体" w:hAnsi="宋体"/>
                <w:sz w:val="24"/>
                <w:highlight w:val="none"/>
              </w:rPr>
            </w:pPr>
            <w:r>
              <w:rPr>
                <w:rFonts w:hint="eastAsia" w:ascii="宋体" w:hAnsi="宋体"/>
                <w:sz w:val="24"/>
                <w:highlight w:val="none"/>
              </w:rPr>
              <w:t>2</w:t>
            </w:r>
          </w:p>
        </w:tc>
        <w:tc>
          <w:tcPr>
            <w:tcW w:w="983" w:type="pct"/>
            <w:vMerge w:val="restart"/>
            <w:vAlign w:val="center"/>
          </w:tcPr>
          <w:p w14:paraId="45AFBA38">
            <w:pPr>
              <w:spacing w:line="360" w:lineRule="auto"/>
              <w:jc w:val="center"/>
              <w:rPr>
                <w:rFonts w:hint="eastAsia" w:ascii="宋体" w:hAnsi="宋体"/>
                <w:sz w:val="24"/>
                <w:highlight w:val="none"/>
              </w:rPr>
            </w:pPr>
            <w:r>
              <w:rPr>
                <w:rFonts w:hint="eastAsia" w:ascii="宋体" w:hAnsi="宋体"/>
                <w:sz w:val="24"/>
                <w:highlight w:val="none"/>
              </w:rPr>
              <w:t>防统方服务</w:t>
            </w:r>
          </w:p>
        </w:tc>
        <w:tc>
          <w:tcPr>
            <w:tcW w:w="3622" w:type="pct"/>
            <w:vAlign w:val="center"/>
          </w:tcPr>
          <w:p w14:paraId="186DA31D">
            <w:pPr>
              <w:spacing w:line="360" w:lineRule="auto"/>
              <w:rPr>
                <w:rFonts w:hint="eastAsia" w:ascii="宋体" w:hAnsi="宋体"/>
                <w:sz w:val="24"/>
                <w:highlight w:val="none"/>
              </w:rPr>
            </w:pPr>
            <w:r>
              <w:rPr>
                <w:rFonts w:hint="eastAsia" w:ascii="宋体" w:hAnsi="宋体"/>
                <w:sz w:val="24"/>
                <w:highlight w:val="none"/>
              </w:rPr>
              <w:t>供应商提供的维保服务能够出具针对纪委、监察室相关人员使用的防统方审计报告（支持每天或多天生成统方审计报告，报告需简单明了，且具有主动将所有的计算机语言翻译成通俗易懂的自然语言的系统机制，支持将整条SQL语句翻译成中文，帮助医院建立基于内部网络的党风廉政、廉洁警示、院内敏感职权使用的防控专网，助力清廉医院建设，具有清廉医院系统的《软件著作权登记证书》，提供加盖供应商公章的产品截图及证书复印件。</w:t>
            </w:r>
          </w:p>
        </w:tc>
      </w:tr>
      <w:tr w14:paraId="7600D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0" w:hRule="atLeast"/>
          <w:jc w:val="center"/>
        </w:trPr>
        <w:tc>
          <w:tcPr>
            <w:tcW w:w="394" w:type="pct"/>
            <w:vMerge w:val="continue"/>
            <w:vAlign w:val="center"/>
          </w:tcPr>
          <w:p w14:paraId="1F2815B5">
            <w:pPr>
              <w:spacing w:line="360" w:lineRule="auto"/>
              <w:jc w:val="center"/>
              <w:rPr>
                <w:rFonts w:hint="eastAsia" w:ascii="宋体" w:hAnsi="宋体"/>
                <w:sz w:val="24"/>
                <w:highlight w:val="none"/>
              </w:rPr>
            </w:pPr>
          </w:p>
        </w:tc>
        <w:tc>
          <w:tcPr>
            <w:tcW w:w="983" w:type="pct"/>
            <w:vMerge w:val="continue"/>
            <w:vAlign w:val="center"/>
          </w:tcPr>
          <w:p w14:paraId="1B82E9BD">
            <w:pPr>
              <w:spacing w:line="360" w:lineRule="auto"/>
              <w:jc w:val="center"/>
              <w:rPr>
                <w:rFonts w:hint="eastAsia" w:ascii="宋体" w:hAnsi="宋体"/>
                <w:sz w:val="24"/>
                <w:highlight w:val="none"/>
              </w:rPr>
            </w:pPr>
          </w:p>
        </w:tc>
        <w:tc>
          <w:tcPr>
            <w:tcW w:w="3622" w:type="pct"/>
            <w:vAlign w:val="center"/>
          </w:tcPr>
          <w:p w14:paraId="5892A5CE">
            <w:pPr>
              <w:spacing w:line="360" w:lineRule="auto"/>
              <w:rPr>
                <w:rFonts w:hint="eastAsia" w:ascii="宋体" w:hAnsi="宋体"/>
                <w:sz w:val="24"/>
                <w:highlight w:val="none"/>
              </w:rPr>
            </w:pPr>
            <w:r>
              <w:rPr>
                <w:rFonts w:hint="eastAsia" w:ascii="宋体" w:hAnsi="宋体"/>
                <w:sz w:val="24"/>
                <w:highlight w:val="none"/>
              </w:rPr>
              <w:t>供应商提供的维保服务支持虚拟化、虚拟云等网络环境的数据审计功能，准确定位统方行为，具有该功能的虚拟云防统方系统的《软件著作权登记证书》，提供加盖供应商公章的证书复印件。</w:t>
            </w:r>
          </w:p>
        </w:tc>
      </w:tr>
      <w:tr w14:paraId="039B9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394" w:type="pct"/>
            <w:vMerge w:val="continue"/>
            <w:vAlign w:val="center"/>
          </w:tcPr>
          <w:p w14:paraId="157D0085">
            <w:pPr>
              <w:spacing w:line="360" w:lineRule="auto"/>
              <w:jc w:val="center"/>
              <w:rPr>
                <w:rFonts w:hint="eastAsia" w:ascii="宋体" w:hAnsi="宋体"/>
                <w:sz w:val="24"/>
                <w:highlight w:val="none"/>
              </w:rPr>
            </w:pPr>
          </w:p>
        </w:tc>
        <w:tc>
          <w:tcPr>
            <w:tcW w:w="983" w:type="pct"/>
            <w:vMerge w:val="continue"/>
            <w:vAlign w:val="center"/>
          </w:tcPr>
          <w:p w14:paraId="27942CA1">
            <w:pPr>
              <w:spacing w:line="360" w:lineRule="auto"/>
              <w:jc w:val="center"/>
              <w:rPr>
                <w:rFonts w:hint="eastAsia" w:ascii="宋体" w:hAnsi="宋体"/>
                <w:sz w:val="24"/>
                <w:highlight w:val="none"/>
              </w:rPr>
            </w:pPr>
          </w:p>
        </w:tc>
        <w:tc>
          <w:tcPr>
            <w:tcW w:w="3622" w:type="pct"/>
            <w:vAlign w:val="center"/>
          </w:tcPr>
          <w:p w14:paraId="1F10734A">
            <w:pPr>
              <w:spacing w:line="360" w:lineRule="auto"/>
              <w:rPr>
                <w:rFonts w:hint="eastAsia" w:ascii="宋体" w:hAnsi="宋体"/>
                <w:sz w:val="24"/>
                <w:highlight w:val="none"/>
              </w:rPr>
            </w:pPr>
            <w:r>
              <w:rPr>
                <w:rFonts w:hint="eastAsia" w:ascii="宋体" w:hAnsi="宋体"/>
                <w:sz w:val="24"/>
                <w:highlight w:val="none"/>
              </w:rPr>
              <w:t>供应商提供的维保服务可针对耗材、高值耗材、SPD、检验试剂、合理用药、互联网医院等医院新的信息化系统进行审计。</w:t>
            </w:r>
          </w:p>
        </w:tc>
      </w:tr>
      <w:tr w14:paraId="0A79C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394" w:type="pct"/>
            <w:vMerge w:val="continue"/>
            <w:vAlign w:val="center"/>
          </w:tcPr>
          <w:p w14:paraId="494CF38B">
            <w:pPr>
              <w:spacing w:line="360" w:lineRule="auto"/>
              <w:jc w:val="center"/>
              <w:rPr>
                <w:rFonts w:hint="eastAsia" w:ascii="宋体" w:hAnsi="宋体"/>
                <w:sz w:val="24"/>
                <w:highlight w:val="none"/>
              </w:rPr>
            </w:pPr>
          </w:p>
        </w:tc>
        <w:tc>
          <w:tcPr>
            <w:tcW w:w="983" w:type="pct"/>
            <w:vMerge w:val="continue"/>
            <w:vAlign w:val="center"/>
          </w:tcPr>
          <w:p w14:paraId="66AD507B">
            <w:pPr>
              <w:spacing w:line="360" w:lineRule="auto"/>
              <w:jc w:val="center"/>
              <w:rPr>
                <w:rFonts w:hint="eastAsia" w:ascii="宋体" w:hAnsi="宋体"/>
                <w:sz w:val="24"/>
                <w:highlight w:val="none"/>
              </w:rPr>
            </w:pPr>
          </w:p>
        </w:tc>
        <w:tc>
          <w:tcPr>
            <w:tcW w:w="3622" w:type="pct"/>
            <w:vAlign w:val="center"/>
          </w:tcPr>
          <w:p w14:paraId="7C8A2843">
            <w:pPr>
              <w:spacing w:line="360" w:lineRule="auto"/>
              <w:rPr>
                <w:rFonts w:hint="eastAsia" w:ascii="宋体" w:hAnsi="宋体"/>
                <w:sz w:val="24"/>
                <w:highlight w:val="none"/>
              </w:rPr>
            </w:pPr>
            <w:r>
              <w:rPr>
                <w:rFonts w:hint="eastAsia" w:ascii="宋体" w:hAnsi="宋体"/>
                <w:sz w:val="24"/>
                <w:highlight w:val="none"/>
              </w:rPr>
              <w:t>供应商提供的维保服务支持可疑对象定位功能，可以精确定位可疑对象的物理位置（记录操作人员工号、操作类型、IP地址、客户端工具以及存放路径、操作系统用户名、主机名、MAC地址、SQL语句和操作的时间等关键信息）。</w:t>
            </w:r>
          </w:p>
        </w:tc>
      </w:tr>
      <w:tr w14:paraId="7F48F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394" w:type="pct"/>
            <w:vMerge w:val="continue"/>
            <w:vAlign w:val="center"/>
          </w:tcPr>
          <w:p w14:paraId="0F493202">
            <w:pPr>
              <w:spacing w:line="360" w:lineRule="auto"/>
              <w:jc w:val="center"/>
              <w:rPr>
                <w:rFonts w:hint="eastAsia" w:ascii="宋体" w:hAnsi="宋体"/>
                <w:sz w:val="24"/>
                <w:highlight w:val="none"/>
              </w:rPr>
            </w:pPr>
          </w:p>
        </w:tc>
        <w:tc>
          <w:tcPr>
            <w:tcW w:w="983" w:type="pct"/>
            <w:vMerge w:val="continue"/>
            <w:vAlign w:val="center"/>
          </w:tcPr>
          <w:p w14:paraId="7EE1E22E">
            <w:pPr>
              <w:spacing w:line="360" w:lineRule="auto"/>
              <w:jc w:val="center"/>
              <w:rPr>
                <w:rFonts w:hint="eastAsia" w:ascii="宋体" w:hAnsi="宋体"/>
                <w:sz w:val="24"/>
                <w:highlight w:val="none"/>
              </w:rPr>
            </w:pPr>
          </w:p>
        </w:tc>
        <w:tc>
          <w:tcPr>
            <w:tcW w:w="3622" w:type="pct"/>
            <w:vAlign w:val="center"/>
          </w:tcPr>
          <w:p w14:paraId="748CBAEB">
            <w:pPr>
              <w:spacing w:line="360" w:lineRule="auto"/>
              <w:rPr>
                <w:rFonts w:hint="eastAsia" w:ascii="宋体" w:hAnsi="宋体"/>
                <w:sz w:val="24"/>
                <w:highlight w:val="none"/>
              </w:rPr>
            </w:pPr>
            <w:r>
              <w:rPr>
                <w:rFonts w:hint="eastAsia" w:ascii="宋体" w:hAnsi="宋体"/>
                <w:sz w:val="24"/>
                <w:highlight w:val="none"/>
              </w:rPr>
              <w:t>供应商提供的维保服务可以对某统方行为的所有操作以及操作结果关联起来，以报表的形式呈现给使用部门，便于使用部门分析和追溯统方事件。</w:t>
            </w:r>
          </w:p>
        </w:tc>
      </w:tr>
      <w:tr w14:paraId="579D7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3" w:hRule="atLeast"/>
          <w:jc w:val="center"/>
        </w:trPr>
        <w:tc>
          <w:tcPr>
            <w:tcW w:w="394" w:type="pct"/>
            <w:vMerge w:val="continue"/>
            <w:vAlign w:val="center"/>
          </w:tcPr>
          <w:p w14:paraId="4192970D">
            <w:pPr>
              <w:spacing w:line="360" w:lineRule="auto"/>
              <w:jc w:val="center"/>
              <w:rPr>
                <w:rFonts w:hint="eastAsia" w:ascii="宋体" w:hAnsi="宋体"/>
                <w:sz w:val="24"/>
                <w:highlight w:val="none"/>
              </w:rPr>
            </w:pPr>
          </w:p>
        </w:tc>
        <w:tc>
          <w:tcPr>
            <w:tcW w:w="983" w:type="pct"/>
            <w:vMerge w:val="continue"/>
            <w:vAlign w:val="center"/>
          </w:tcPr>
          <w:p w14:paraId="3F8B10A6">
            <w:pPr>
              <w:spacing w:line="360" w:lineRule="auto"/>
              <w:jc w:val="center"/>
              <w:rPr>
                <w:rFonts w:hint="eastAsia" w:ascii="宋体" w:hAnsi="宋体"/>
                <w:sz w:val="24"/>
                <w:highlight w:val="none"/>
              </w:rPr>
            </w:pPr>
          </w:p>
        </w:tc>
        <w:tc>
          <w:tcPr>
            <w:tcW w:w="3622" w:type="pct"/>
            <w:vAlign w:val="center"/>
          </w:tcPr>
          <w:p w14:paraId="29605DB2">
            <w:pPr>
              <w:spacing w:line="360" w:lineRule="auto"/>
              <w:rPr>
                <w:rFonts w:hint="eastAsia" w:ascii="宋体" w:hAnsi="宋体"/>
                <w:sz w:val="24"/>
                <w:highlight w:val="none"/>
              </w:rPr>
            </w:pPr>
            <w:r>
              <w:rPr>
                <w:rFonts w:hint="eastAsia" w:ascii="宋体" w:hAnsi="宋体"/>
                <w:sz w:val="24"/>
                <w:highlight w:val="none"/>
              </w:rPr>
              <w:t>发现统方操作后，可对应相应药品厂家，对该厂商、药代表进行重点监控，具有医药代表管理系统的《软件著作权登记证书》，提供加盖供应商公章的证书复印件。</w:t>
            </w:r>
          </w:p>
        </w:tc>
      </w:tr>
      <w:tr w14:paraId="4339A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18" w:hRule="atLeast"/>
          <w:jc w:val="center"/>
        </w:trPr>
        <w:tc>
          <w:tcPr>
            <w:tcW w:w="394" w:type="pct"/>
            <w:vMerge w:val="continue"/>
            <w:vAlign w:val="center"/>
          </w:tcPr>
          <w:p w14:paraId="4A76157F">
            <w:pPr>
              <w:spacing w:line="360" w:lineRule="auto"/>
              <w:jc w:val="center"/>
              <w:rPr>
                <w:rFonts w:hint="eastAsia" w:ascii="宋体" w:hAnsi="宋体"/>
                <w:sz w:val="24"/>
                <w:highlight w:val="none"/>
              </w:rPr>
            </w:pPr>
          </w:p>
        </w:tc>
        <w:tc>
          <w:tcPr>
            <w:tcW w:w="983" w:type="pct"/>
            <w:vMerge w:val="continue"/>
            <w:vAlign w:val="center"/>
          </w:tcPr>
          <w:p w14:paraId="45743933">
            <w:pPr>
              <w:spacing w:line="360" w:lineRule="auto"/>
              <w:jc w:val="center"/>
              <w:rPr>
                <w:rFonts w:hint="eastAsia" w:ascii="宋体" w:hAnsi="宋体"/>
                <w:sz w:val="24"/>
                <w:highlight w:val="none"/>
              </w:rPr>
            </w:pPr>
          </w:p>
        </w:tc>
        <w:tc>
          <w:tcPr>
            <w:tcW w:w="3622" w:type="pct"/>
            <w:vAlign w:val="center"/>
          </w:tcPr>
          <w:p w14:paraId="016FDC14">
            <w:pPr>
              <w:spacing w:line="360" w:lineRule="auto"/>
              <w:rPr>
                <w:rFonts w:hint="eastAsia" w:ascii="宋体" w:hAnsi="宋体"/>
                <w:sz w:val="24"/>
                <w:highlight w:val="none"/>
              </w:rPr>
            </w:pPr>
            <w:r>
              <w:rPr>
                <w:rFonts w:hint="eastAsia" w:ascii="宋体" w:hAnsi="宋体"/>
                <w:sz w:val="24"/>
                <w:highlight w:val="none"/>
              </w:rPr>
              <w:t>供应商提供的维保服务支持阻止可疑会话功能，甄别数据访问，阻止非正常数据会话。能根据预定规则阻止SQL语句的“数据库墙”功能，如根据系统设置的客户端IP/MAC黑名单，以及数据内容中的敏感信息，实时阻止黑名单中的客户端对关键服务器的访问。</w:t>
            </w:r>
          </w:p>
        </w:tc>
      </w:tr>
      <w:tr w14:paraId="7D054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394" w:type="pct"/>
            <w:vMerge w:val="continue"/>
            <w:vAlign w:val="center"/>
          </w:tcPr>
          <w:p w14:paraId="4B1B21E1">
            <w:pPr>
              <w:spacing w:line="360" w:lineRule="auto"/>
              <w:jc w:val="center"/>
              <w:rPr>
                <w:rFonts w:hint="eastAsia" w:ascii="宋体" w:hAnsi="宋体"/>
                <w:sz w:val="24"/>
                <w:highlight w:val="none"/>
              </w:rPr>
            </w:pPr>
          </w:p>
        </w:tc>
        <w:tc>
          <w:tcPr>
            <w:tcW w:w="983" w:type="pct"/>
            <w:vMerge w:val="continue"/>
            <w:vAlign w:val="center"/>
          </w:tcPr>
          <w:p w14:paraId="7161E383">
            <w:pPr>
              <w:spacing w:line="360" w:lineRule="auto"/>
              <w:jc w:val="center"/>
              <w:rPr>
                <w:rFonts w:hint="eastAsia" w:ascii="宋体" w:hAnsi="宋体"/>
                <w:sz w:val="24"/>
                <w:highlight w:val="none"/>
              </w:rPr>
            </w:pPr>
          </w:p>
        </w:tc>
        <w:tc>
          <w:tcPr>
            <w:tcW w:w="3622" w:type="pct"/>
            <w:vAlign w:val="center"/>
          </w:tcPr>
          <w:p w14:paraId="007C82D1">
            <w:pPr>
              <w:spacing w:line="360" w:lineRule="auto"/>
              <w:rPr>
                <w:rFonts w:hint="eastAsia" w:ascii="宋体" w:hAnsi="宋体"/>
                <w:sz w:val="24"/>
                <w:highlight w:val="none"/>
              </w:rPr>
            </w:pPr>
            <w:r>
              <w:rPr>
                <w:rFonts w:hint="eastAsia" w:ascii="宋体" w:hAnsi="宋体"/>
                <w:sz w:val="24"/>
                <w:highlight w:val="none"/>
              </w:rPr>
              <w:t>供应商提供的维保服务支持统方白名单权限的设置，可对授权统方行为的操作人员工号、操作类型、IP地址、客户端工具、操作系统用户名、主机名、MAC地址、SQL语句和操作的时间范围等条件进行设置，只有通过了授权和验证才可以获得统方权限。</w:t>
            </w:r>
          </w:p>
        </w:tc>
      </w:tr>
      <w:tr w14:paraId="17D78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0" w:hRule="atLeast"/>
          <w:jc w:val="center"/>
        </w:trPr>
        <w:tc>
          <w:tcPr>
            <w:tcW w:w="394" w:type="pct"/>
            <w:vMerge w:val="restart"/>
            <w:vAlign w:val="center"/>
          </w:tcPr>
          <w:p w14:paraId="5229C0F6">
            <w:pPr>
              <w:spacing w:line="360" w:lineRule="auto"/>
              <w:jc w:val="center"/>
              <w:rPr>
                <w:rFonts w:hint="eastAsia" w:ascii="宋体" w:hAnsi="宋体"/>
                <w:sz w:val="24"/>
                <w:highlight w:val="none"/>
              </w:rPr>
            </w:pPr>
            <w:r>
              <w:rPr>
                <w:rFonts w:hint="eastAsia" w:ascii="宋体" w:hAnsi="宋体"/>
                <w:sz w:val="24"/>
                <w:highlight w:val="none"/>
              </w:rPr>
              <w:t>3</w:t>
            </w:r>
          </w:p>
        </w:tc>
        <w:tc>
          <w:tcPr>
            <w:tcW w:w="983" w:type="pct"/>
            <w:vMerge w:val="restart"/>
            <w:vAlign w:val="center"/>
          </w:tcPr>
          <w:p w14:paraId="444D7285">
            <w:pPr>
              <w:spacing w:line="360" w:lineRule="auto"/>
              <w:jc w:val="center"/>
              <w:rPr>
                <w:rFonts w:hint="eastAsia" w:ascii="宋体" w:hAnsi="宋体"/>
                <w:sz w:val="24"/>
                <w:highlight w:val="none"/>
              </w:rPr>
            </w:pPr>
            <w:r>
              <w:rPr>
                <w:rFonts w:hint="eastAsia" w:ascii="宋体" w:hAnsi="宋体"/>
                <w:sz w:val="24"/>
                <w:highlight w:val="none"/>
              </w:rPr>
              <w:t>抗菌药物试剂及耗材分析服务</w:t>
            </w:r>
          </w:p>
        </w:tc>
        <w:tc>
          <w:tcPr>
            <w:tcW w:w="3622" w:type="pct"/>
            <w:tcBorders>
              <w:bottom w:val="single" w:color="auto" w:sz="4" w:space="0"/>
            </w:tcBorders>
            <w:vAlign w:val="center"/>
          </w:tcPr>
          <w:p w14:paraId="7242F286">
            <w:pPr>
              <w:spacing w:line="360" w:lineRule="auto"/>
              <w:rPr>
                <w:rFonts w:hint="eastAsia" w:ascii="宋体" w:hAnsi="宋体"/>
                <w:sz w:val="24"/>
                <w:highlight w:val="none"/>
              </w:rPr>
            </w:pPr>
            <w:r>
              <w:rPr>
                <w:rFonts w:hint="eastAsia" w:ascii="宋体" w:hAnsi="宋体"/>
                <w:sz w:val="24"/>
                <w:highlight w:val="none"/>
              </w:rPr>
              <w:t>供应商提供的维保服务支持对指定时间内全院抗菌药物、试剂及耗材的品种、剂型、规格、使用量、使用金额，使用量和使用金额分别排名前N位的品种进行分析，自动生成报表），具有抗菌药物管理系统的《软件著作权登记证书》，提供加盖供应商公章的产品截图及证书复印件。</w:t>
            </w:r>
          </w:p>
        </w:tc>
      </w:tr>
      <w:tr w14:paraId="13CF2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394" w:type="pct"/>
            <w:vMerge w:val="continue"/>
            <w:vAlign w:val="center"/>
          </w:tcPr>
          <w:p w14:paraId="5EBE0140">
            <w:pPr>
              <w:spacing w:line="360" w:lineRule="auto"/>
              <w:jc w:val="center"/>
              <w:rPr>
                <w:rFonts w:hint="eastAsia" w:ascii="宋体" w:hAnsi="宋体"/>
                <w:sz w:val="24"/>
                <w:highlight w:val="none"/>
              </w:rPr>
            </w:pPr>
          </w:p>
        </w:tc>
        <w:tc>
          <w:tcPr>
            <w:tcW w:w="983" w:type="pct"/>
            <w:vMerge w:val="continue"/>
            <w:vAlign w:val="center"/>
          </w:tcPr>
          <w:p w14:paraId="51CB1DA1">
            <w:pPr>
              <w:spacing w:line="360" w:lineRule="auto"/>
              <w:jc w:val="center"/>
              <w:rPr>
                <w:rFonts w:hint="eastAsia" w:ascii="宋体" w:hAnsi="宋体"/>
                <w:sz w:val="24"/>
                <w:highlight w:val="none"/>
              </w:rPr>
            </w:pPr>
          </w:p>
        </w:tc>
        <w:tc>
          <w:tcPr>
            <w:tcW w:w="3622" w:type="pct"/>
            <w:tcBorders>
              <w:top w:val="single" w:color="auto" w:sz="4" w:space="0"/>
            </w:tcBorders>
            <w:vAlign w:val="center"/>
          </w:tcPr>
          <w:p w14:paraId="7D98E987">
            <w:pPr>
              <w:spacing w:line="360" w:lineRule="auto"/>
              <w:rPr>
                <w:rFonts w:hint="eastAsia" w:ascii="宋体" w:hAnsi="宋体"/>
                <w:sz w:val="24"/>
                <w:highlight w:val="none"/>
              </w:rPr>
            </w:pPr>
            <w:r>
              <w:rPr>
                <w:rFonts w:hint="eastAsia" w:ascii="宋体" w:hAnsi="宋体"/>
                <w:sz w:val="24"/>
                <w:highlight w:val="none"/>
              </w:rPr>
              <w:t>供应商提供的维保服务支持针对医院使用的抗菌药物、试剂和耗材进行全方位跟踪，提供条件筛选模糊查询和精确查询，系统能实时对抗菌药物、试剂和耗材的统计进行告警。</w:t>
            </w:r>
          </w:p>
        </w:tc>
      </w:tr>
      <w:tr w14:paraId="34EF7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394" w:type="pct"/>
            <w:vAlign w:val="center"/>
          </w:tcPr>
          <w:p w14:paraId="1254FF97">
            <w:pPr>
              <w:spacing w:line="360" w:lineRule="auto"/>
              <w:jc w:val="center"/>
              <w:rPr>
                <w:rFonts w:hint="eastAsia" w:ascii="宋体" w:hAnsi="宋体"/>
                <w:sz w:val="24"/>
                <w:highlight w:val="none"/>
              </w:rPr>
            </w:pPr>
            <w:r>
              <w:rPr>
                <w:rFonts w:hint="eastAsia" w:ascii="宋体" w:hAnsi="宋体"/>
                <w:sz w:val="24"/>
                <w:highlight w:val="none"/>
              </w:rPr>
              <w:t>4</w:t>
            </w:r>
          </w:p>
        </w:tc>
        <w:tc>
          <w:tcPr>
            <w:tcW w:w="983" w:type="pct"/>
            <w:vAlign w:val="center"/>
          </w:tcPr>
          <w:p w14:paraId="0C633E3E">
            <w:pPr>
              <w:spacing w:line="360" w:lineRule="auto"/>
              <w:jc w:val="center"/>
              <w:rPr>
                <w:rFonts w:hint="eastAsia" w:ascii="宋体" w:hAnsi="宋体"/>
                <w:sz w:val="24"/>
                <w:highlight w:val="none"/>
              </w:rPr>
            </w:pPr>
            <w:r>
              <w:rPr>
                <w:rFonts w:hint="eastAsia" w:ascii="宋体" w:hAnsi="宋体"/>
                <w:sz w:val="24"/>
                <w:highlight w:val="none"/>
              </w:rPr>
              <w:t>扫描数据库服务</w:t>
            </w:r>
          </w:p>
        </w:tc>
        <w:tc>
          <w:tcPr>
            <w:tcW w:w="3622" w:type="pct"/>
            <w:vAlign w:val="center"/>
          </w:tcPr>
          <w:p w14:paraId="628D7713">
            <w:pPr>
              <w:spacing w:line="360" w:lineRule="auto"/>
              <w:rPr>
                <w:rFonts w:hint="eastAsia" w:ascii="宋体" w:hAnsi="宋体"/>
                <w:sz w:val="24"/>
                <w:highlight w:val="none"/>
              </w:rPr>
            </w:pPr>
            <w:r>
              <w:rPr>
                <w:rFonts w:hint="eastAsia" w:ascii="宋体" w:hAnsi="宋体"/>
                <w:sz w:val="24"/>
                <w:highlight w:val="none"/>
              </w:rPr>
              <w:t>对于医院不断新增业务系统，供应商能够提供自主扫描业务系统数据库的技术能力，在组网环境中扫描数据库，从而判断业务系统是否被全面监控。</w:t>
            </w:r>
          </w:p>
        </w:tc>
      </w:tr>
      <w:tr w14:paraId="2D452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394" w:type="pct"/>
            <w:vAlign w:val="center"/>
          </w:tcPr>
          <w:p w14:paraId="59A6DF1F">
            <w:pPr>
              <w:spacing w:line="360" w:lineRule="auto"/>
              <w:jc w:val="center"/>
              <w:rPr>
                <w:rFonts w:hint="eastAsia" w:ascii="宋体" w:hAnsi="宋体"/>
                <w:sz w:val="24"/>
                <w:highlight w:val="none"/>
              </w:rPr>
            </w:pPr>
            <w:r>
              <w:rPr>
                <w:rFonts w:hint="eastAsia" w:ascii="宋体" w:hAnsi="宋体"/>
                <w:sz w:val="24"/>
                <w:highlight w:val="none"/>
              </w:rPr>
              <w:t>5</w:t>
            </w:r>
          </w:p>
        </w:tc>
        <w:tc>
          <w:tcPr>
            <w:tcW w:w="983" w:type="pct"/>
            <w:vAlign w:val="center"/>
          </w:tcPr>
          <w:p w14:paraId="1E7D8B58">
            <w:pPr>
              <w:spacing w:line="360" w:lineRule="auto"/>
              <w:jc w:val="center"/>
              <w:rPr>
                <w:rFonts w:hint="eastAsia" w:ascii="宋体" w:hAnsi="宋体"/>
                <w:sz w:val="24"/>
                <w:highlight w:val="none"/>
              </w:rPr>
            </w:pPr>
            <w:r>
              <w:rPr>
                <w:rFonts w:hint="eastAsia" w:ascii="宋体" w:hAnsi="宋体"/>
                <w:sz w:val="24"/>
                <w:highlight w:val="none"/>
              </w:rPr>
              <w:t>精准筛查服务</w:t>
            </w:r>
          </w:p>
        </w:tc>
        <w:tc>
          <w:tcPr>
            <w:tcW w:w="3622" w:type="pct"/>
            <w:vAlign w:val="center"/>
          </w:tcPr>
          <w:p w14:paraId="4350AD4E">
            <w:pPr>
              <w:spacing w:line="360" w:lineRule="auto"/>
              <w:rPr>
                <w:rFonts w:hint="eastAsia" w:ascii="宋体" w:hAnsi="宋体"/>
                <w:sz w:val="24"/>
                <w:highlight w:val="none"/>
              </w:rPr>
            </w:pPr>
            <w:r>
              <w:rPr>
                <w:rFonts w:hint="eastAsia" w:ascii="宋体" w:hAnsi="宋体"/>
                <w:sz w:val="24"/>
                <w:highlight w:val="none"/>
              </w:rPr>
              <w:t>供应商提供的维保服务能够通过统方四要素（药品、数量、医生、时间），进行数据分析，达到疑似统方报警。精准筛查，通过不断累积条件如：时间、单查一个病人处方等达到更精准统方报警。</w:t>
            </w:r>
          </w:p>
        </w:tc>
      </w:tr>
      <w:tr w14:paraId="61605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394" w:type="pct"/>
            <w:vAlign w:val="center"/>
          </w:tcPr>
          <w:p w14:paraId="5A96258A">
            <w:pPr>
              <w:spacing w:line="360" w:lineRule="auto"/>
              <w:jc w:val="center"/>
              <w:rPr>
                <w:rFonts w:hint="eastAsia" w:ascii="宋体" w:hAnsi="宋体"/>
                <w:sz w:val="24"/>
                <w:highlight w:val="none"/>
              </w:rPr>
            </w:pPr>
            <w:r>
              <w:rPr>
                <w:rFonts w:hint="eastAsia" w:ascii="宋体" w:hAnsi="宋体"/>
                <w:sz w:val="24"/>
                <w:highlight w:val="none"/>
              </w:rPr>
              <w:t>6</w:t>
            </w:r>
          </w:p>
        </w:tc>
        <w:tc>
          <w:tcPr>
            <w:tcW w:w="983" w:type="pct"/>
            <w:vAlign w:val="center"/>
          </w:tcPr>
          <w:p w14:paraId="33253A4F">
            <w:pPr>
              <w:spacing w:line="360" w:lineRule="auto"/>
              <w:jc w:val="center"/>
              <w:rPr>
                <w:rFonts w:hint="eastAsia" w:ascii="宋体" w:hAnsi="宋体"/>
                <w:sz w:val="24"/>
                <w:highlight w:val="none"/>
              </w:rPr>
            </w:pPr>
            <w:r>
              <w:rPr>
                <w:rFonts w:hint="eastAsia" w:ascii="宋体" w:hAnsi="宋体"/>
                <w:sz w:val="24"/>
                <w:highlight w:val="none"/>
              </w:rPr>
              <w:t>线上报备服务</w:t>
            </w:r>
          </w:p>
        </w:tc>
        <w:tc>
          <w:tcPr>
            <w:tcW w:w="3622" w:type="pct"/>
            <w:vAlign w:val="center"/>
          </w:tcPr>
          <w:p w14:paraId="2CBD3308">
            <w:pPr>
              <w:spacing w:line="360" w:lineRule="auto"/>
              <w:rPr>
                <w:rFonts w:hint="eastAsia" w:ascii="宋体" w:hAnsi="宋体"/>
                <w:sz w:val="24"/>
                <w:highlight w:val="none"/>
              </w:rPr>
            </w:pPr>
            <w:r>
              <w:rPr>
                <w:rFonts w:hint="eastAsia" w:ascii="宋体" w:hAnsi="宋体"/>
                <w:sz w:val="24"/>
                <w:highlight w:val="none"/>
              </w:rPr>
              <w:t>供应商提供的维保服务支持对于正常合法统方行为，可以做正常统方申请报备处理，在呈现统方报表时，给出此操作已完成相应报备手续，属于正常统方范畴。</w:t>
            </w:r>
          </w:p>
        </w:tc>
      </w:tr>
      <w:tr w14:paraId="1A4BF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394" w:type="pct"/>
            <w:vAlign w:val="center"/>
          </w:tcPr>
          <w:p w14:paraId="55B655E4">
            <w:pPr>
              <w:spacing w:line="360" w:lineRule="auto"/>
              <w:jc w:val="center"/>
              <w:rPr>
                <w:rFonts w:hint="eastAsia" w:ascii="宋体" w:hAnsi="宋体"/>
                <w:sz w:val="24"/>
                <w:highlight w:val="none"/>
              </w:rPr>
            </w:pPr>
            <w:r>
              <w:rPr>
                <w:rFonts w:hint="eastAsia" w:ascii="宋体" w:hAnsi="宋体"/>
                <w:sz w:val="24"/>
                <w:highlight w:val="none"/>
              </w:rPr>
              <w:t>7</w:t>
            </w:r>
          </w:p>
        </w:tc>
        <w:tc>
          <w:tcPr>
            <w:tcW w:w="983" w:type="pct"/>
            <w:vAlign w:val="center"/>
          </w:tcPr>
          <w:p w14:paraId="0CC13D0B">
            <w:pPr>
              <w:spacing w:line="360" w:lineRule="auto"/>
              <w:jc w:val="center"/>
              <w:rPr>
                <w:rFonts w:hint="eastAsia" w:ascii="宋体" w:hAnsi="宋体"/>
                <w:sz w:val="24"/>
                <w:highlight w:val="none"/>
              </w:rPr>
            </w:pPr>
            <w:r>
              <w:rPr>
                <w:rFonts w:hint="eastAsia" w:ascii="宋体" w:hAnsi="宋体"/>
                <w:sz w:val="24"/>
                <w:highlight w:val="none"/>
              </w:rPr>
              <w:t>告警</w:t>
            </w:r>
            <w:bookmarkStart w:id="0" w:name="_GoBack"/>
            <w:bookmarkEnd w:id="0"/>
            <w:r>
              <w:rPr>
                <w:rFonts w:hint="eastAsia" w:ascii="宋体" w:hAnsi="宋体"/>
                <w:sz w:val="24"/>
                <w:highlight w:val="none"/>
              </w:rPr>
              <w:t>服务</w:t>
            </w:r>
          </w:p>
        </w:tc>
        <w:tc>
          <w:tcPr>
            <w:tcW w:w="3622" w:type="pct"/>
            <w:vAlign w:val="center"/>
          </w:tcPr>
          <w:p w14:paraId="07E5301B">
            <w:pPr>
              <w:spacing w:line="360" w:lineRule="auto"/>
              <w:rPr>
                <w:rFonts w:hint="eastAsia" w:ascii="宋体" w:hAnsi="宋体"/>
                <w:sz w:val="24"/>
                <w:highlight w:val="none"/>
              </w:rPr>
            </w:pPr>
            <w:r>
              <w:rPr>
                <w:rFonts w:hint="eastAsia" w:ascii="宋体" w:hAnsi="宋体"/>
                <w:sz w:val="24"/>
                <w:highlight w:val="none"/>
              </w:rPr>
              <w:t>供应商提供的维保服务支持用户自定义规则实时发出手机短信通知和邮件提醒等多种方式的告警信息，并支持配备相应的告警信息发送设备。</w:t>
            </w:r>
          </w:p>
        </w:tc>
      </w:tr>
    </w:tbl>
    <w:p w14:paraId="3C62FCA9"/>
    <w:sectPr>
      <w:pgSz w:w="11906" w:h="16838"/>
      <w:pgMar w:top="1440" w:right="1800" w:bottom="116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YTBmYjBlZmQwMjA4ZmZmMzMyMGRjMTEwMjhkZjMifQ=="/>
  </w:docVars>
  <w:rsids>
    <w:rsidRoot w:val="0B633A84"/>
    <w:rsid w:val="000121AF"/>
    <w:rsid w:val="00027908"/>
    <w:rsid w:val="001243D9"/>
    <w:rsid w:val="0012525F"/>
    <w:rsid w:val="0021469A"/>
    <w:rsid w:val="00222D80"/>
    <w:rsid w:val="00291AF5"/>
    <w:rsid w:val="002B64B7"/>
    <w:rsid w:val="002C00AE"/>
    <w:rsid w:val="00306CD3"/>
    <w:rsid w:val="00323368"/>
    <w:rsid w:val="003426A4"/>
    <w:rsid w:val="003D6F0E"/>
    <w:rsid w:val="004208D1"/>
    <w:rsid w:val="0044097D"/>
    <w:rsid w:val="0046168E"/>
    <w:rsid w:val="00470CC5"/>
    <w:rsid w:val="004833DC"/>
    <w:rsid w:val="004C0694"/>
    <w:rsid w:val="005D751E"/>
    <w:rsid w:val="00681040"/>
    <w:rsid w:val="00722009"/>
    <w:rsid w:val="00722A14"/>
    <w:rsid w:val="0073510E"/>
    <w:rsid w:val="0074561D"/>
    <w:rsid w:val="00772B5B"/>
    <w:rsid w:val="00791F08"/>
    <w:rsid w:val="007B2B48"/>
    <w:rsid w:val="007B6A6A"/>
    <w:rsid w:val="007F3302"/>
    <w:rsid w:val="007F3A26"/>
    <w:rsid w:val="00814227"/>
    <w:rsid w:val="00817F10"/>
    <w:rsid w:val="008B09C1"/>
    <w:rsid w:val="009E4703"/>
    <w:rsid w:val="00A31C22"/>
    <w:rsid w:val="00A341DB"/>
    <w:rsid w:val="00A6394D"/>
    <w:rsid w:val="00A9630E"/>
    <w:rsid w:val="00B66AF5"/>
    <w:rsid w:val="00B70D8B"/>
    <w:rsid w:val="00BD21E4"/>
    <w:rsid w:val="00BE4F3C"/>
    <w:rsid w:val="00BF1C23"/>
    <w:rsid w:val="00C40E30"/>
    <w:rsid w:val="00C656BF"/>
    <w:rsid w:val="00C93B1D"/>
    <w:rsid w:val="00CA350C"/>
    <w:rsid w:val="00CE2619"/>
    <w:rsid w:val="00E64CB1"/>
    <w:rsid w:val="00EF5213"/>
    <w:rsid w:val="00F512C9"/>
    <w:rsid w:val="00F752FD"/>
    <w:rsid w:val="00FB49B4"/>
    <w:rsid w:val="00FC7773"/>
    <w:rsid w:val="0B633A84"/>
    <w:rsid w:val="174F3E19"/>
    <w:rsid w:val="195D6EF2"/>
    <w:rsid w:val="22407943"/>
    <w:rsid w:val="24E43756"/>
    <w:rsid w:val="3F775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autoRedefine/>
    <w:qFormat/>
    <w:uiPriority w:val="0"/>
    <w:pPr>
      <w:ind w:firstLine="420"/>
      <w:jc w:val="left"/>
    </w:pPr>
    <w:rPr>
      <w:kern w:val="0"/>
    </w:rPr>
  </w:style>
  <w:style w:type="paragraph" w:customStyle="1" w:styleId="3">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2132</Words>
  <Characters>2198</Characters>
  <Lines>16</Lines>
  <Paragraphs>4</Paragraphs>
  <TotalTime>51</TotalTime>
  <ScaleCrop>false</ScaleCrop>
  <LinksUpToDate>false</LinksUpToDate>
  <CharactersWithSpaces>2201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2024-09-25T11:54:00Z</dcterms:created>
  <dc:creator>WPS_1658036163</dc:creator>
  <cp:lastModifiedBy>妇幼董</cp:lastModifiedBy>
  <dcterms:modified xsi:type="dcterms:W3CDTF">2024-11-04T10:07:36Z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C4FD00DD853945348FDE6E567CF1FFBB_13</vt:lpwstr>
  </property>
</Properties>
</file>